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A06DE" w14:textId="2DEF5B7E" w:rsidR="005F32AD" w:rsidRPr="001257E7" w:rsidRDefault="005F32AD" w:rsidP="001257E7">
      <w:pPr>
        <w:pStyle w:val="TeksIsi2"/>
        <w:rPr>
          <w:rFonts w:ascii="Times New Roman" w:hAnsi="Times New Roman"/>
          <w:bCs/>
          <w:sz w:val="24"/>
          <w:szCs w:val="24"/>
          <w:lang w:eastAsia="id-ID"/>
        </w:rPr>
      </w:pPr>
      <w:r w:rsidRPr="001257E7">
        <w:rPr>
          <w:rFonts w:ascii="Times New Roman" w:hAnsi="Times New Roman"/>
          <w:bCs/>
          <w:i/>
          <w:iCs/>
          <w:sz w:val="24"/>
          <w:szCs w:val="24"/>
          <w:lang w:val="en" w:eastAsia="id-ID"/>
        </w:rPr>
        <w:t xml:space="preserve">COST-EFFECTIVENESS ANALYSIS OF </w:t>
      </w:r>
      <w:r w:rsidRPr="001257E7">
        <w:rPr>
          <w:rFonts w:ascii="Times New Roman" w:hAnsi="Times New Roman"/>
          <w:bCs/>
          <w:sz w:val="24"/>
          <w:szCs w:val="24"/>
          <w:lang w:val="en" w:eastAsia="id-ID"/>
        </w:rPr>
        <w:t>REMDESIVIR AND FAVIPIRAVIR THERAPY FOR THE TREATMENT OF COVID-19 IN ADULT PATIENTS AT THE HAJJ REGIONAL GENERAL HOSPITAL, EAST JAVA PROVINCE</w:t>
      </w:r>
    </w:p>
    <w:p w14:paraId="205CDE96" w14:textId="77777777" w:rsidR="005F32AD" w:rsidRPr="001257E7" w:rsidRDefault="005F32AD" w:rsidP="001257E7">
      <w:pPr>
        <w:pStyle w:val="TeksIsi2"/>
        <w:rPr>
          <w:rFonts w:ascii="Times New Roman" w:hAnsi="Times New Roman"/>
          <w:bCs/>
          <w:sz w:val="22"/>
          <w:szCs w:val="22"/>
          <w:lang w:eastAsia="id-ID"/>
        </w:rPr>
      </w:pPr>
    </w:p>
    <w:p w14:paraId="64FF3849" w14:textId="77777777" w:rsidR="001257E7" w:rsidRPr="001257E7" w:rsidRDefault="005F32AD" w:rsidP="001257E7">
      <w:pPr>
        <w:jc w:val="center"/>
        <w:rPr>
          <w:rFonts w:ascii="Times New Roman" w:hAnsi="Times New Roman" w:cs="Times New Roman"/>
          <w:b/>
          <w:sz w:val="22"/>
          <w:szCs w:val="22"/>
          <w:lang w:eastAsia="id-ID"/>
        </w:rPr>
      </w:pPr>
      <w:r w:rsidRPr="001257E7">
        <w:rPr>
          <w:rFonts w:ascii="Times New Roman" w:hAnsi="Times New Roman" w:cs="Times New Roman"/>
          <w:b/>
          <w:sz w:val="22"/>
          <w:szCs w:val="22"/>
          <w:lang w:val="en" w:eastAsia="id-ID"/>
        </w:rPr>
        <w:t xml:space="preserve">Aditya </w:t>
      </w:r>
      <w:proofErr w:type="spellStart"/>
      <w:r w:rsidRPr="001257E7">
        <w:rPr>
          <w:rFonts w:ascii="Times New Roman" w:hAnsi="Times New Roman" w:cs="Times New Roman"/>
          <w:b/>
          <w:sz w:val="22"/>
          <w:szCs w:val="22"/>
          <w:lang w:val="en" w:eastAsia="id-ID"/>
        </w:rPr>
        <w:t>N</w:t>
      </w:r>
      <w:r w:rsidR="00CA722B" w:rsidRPr="001257E7">
        <w:rPr>
          <w:rFonts w:ascii="Times New Roman" w:hAnsi="Times New Roman" w:cs="Times New Roman"/>
          <w:b/>
          <w:sz w:val="22"/>
          <w:szCs w:val="22"/>
          <w:lang w:val="en" w:eastAsia="id-ID"/>
        </w:rPr>
        <w:t>ugraha</w:t>
      </w:r>
      <w:proofErr w:type="spellEnd"/>
      <w:r w:rsidRPr="001257E7">
        <w:rPr>
          <w:rFonts w:ascii="Times New Roman" w:hAnsi="Times New Roman" w:cs="Times New Roman"/>
          <w:b/>
          <w:sz w:val="22"/>
          <w:szCs w:val="22"/>
          <w:lang w:val="en" w:eastAsia="id-ID"/>
        </w:rPr>
        <w:t xml:space="preserve"> </w:t>
      </w:r>
      <w:proofErr w:type="spellStart"/>
      <w:r w:rsidRPr="001257E7">
        <w:rPr>
          <w:rFonts w:ascii="Times New Roman" w:hAnsi="Times New Roman" w:cs="Times New Roman"/>
          <w:b/>
          <w:sz w:val="22"/>
          <w:szCs w:val="22"/>
          <w:lang w:val="en" w:eastAsia="id-ID"/>
        </w:rPr>
        <w:t>Halimbar</w:t>
      </w:r>
      <w:proofErr w:type="spellEnd"/>
      <w:r w:rsidRPr="001257E7">
        <w:rPr>
          <w:rFonts w:ascii="Times New Roman" w:hAnsi="Times New Roman" w:cs="Times New Roman"/>
          <w:b/>
          <w:sz w:val="22"/>
          <w:szCs w:val="22"/>
          <w:lang w:val="en" w:eastAsia="id-ID"/>
        </w:rPr>
        <w:t>,</w:t>
      </w:r>
      <w:r w:rsidR="001257E7" w:rsidRPr="001257E7">
        <w:rPr>
          <w:rFonts w:ascii="Times New Roman" w:hAnsi="Times New Roman" w:cs="Times New Roman"/>
          <w:b/>
          <w:sz w:val="22"/>
          <w:szCs w:val="22"/>
          <w:lang w:val="en" w:eastAsia="id-ID"/>
        </w:rPr>
        <w:t xml:space="preserve"> </w:t>
      </w:r>
      <w:r w:rsidR="001257E7" w:rsidRPr="001257E7">
        <w:rPr>
          <w:rFonts w:ascii="Times New Roman" w:hAnsi="Times New Roman" w:cs="Times New Roman"/>
          <w:b/>
          <w:sz w:val="22"/>
          <w:szCs w:val="22"/>
          <w:lang w:val="en"/>
        </w:rPr>
        <w:t xml:space="preserve">Amelia </w:t>
      </w:r>
      <w:proofErr w:type="spellStart"/>
      <w:r w:rsidR="001257E7" w:rsidRPr="001257E7">
        <w:rPr>
          <w:rFonts w:ascii="Times New Roman" w:hAnsi="Times New Roman" w:cs="Times New Roman"/>
          <w:b/>
          <w:sz w:val="22"/>
          <w:szCs w:val="22"/>
          <w:lang w:val="en"/>
        </w:rPr>
        <w:t>Lorensia</w:t>
      </w:r>
      <w:proofErr w:type="spellEnd"/>
      <w:r w:rsidR="001257E7" w:rsidRPr="001257E7">
        <w:rPr>
          <w:rFonts w:ascii="Times New Roman" w:hAnsi="Times New Roman" w:cs="Times New Roman"/>
          <w:b/>
          <w:sz w:val="22"/>
          <w:szCs w:val="22"/>
          <w:lang w:val="en"/>
        </w:rPr>
        <w:t>,</w:t>
      </w:r>
      <w:r w:rsidRPr="001257E7">
        <w:rPr>
          <w:rFonts w:ascii="Times New Roman" w:hAnsi="Times New Roman" w:cs="Times New Roman"/>
          <w:b/>
          <w:sz w:val="22"/>
          <w:szCs w:val="22"/>
          <w:lang w:val="en" w:eastAsia="id-ID"/>
        </w:rPr>
        <w:t xml:space="preserve"> </w:t>
      </w:r>
      <w:proofErr w:type="spellStart"/>
      <w:r w:rsidR="001257E7" w:rsidRPr="001257E7">
        <w:rPr>
          <w:rFonts w:ascii="Times New Roman" w:hAnsi="Times New Roman" w:cs="Times New Roman"/>
          <w:b/>
          <w:sz w:val="22"/>
          <w:szCs w:val="22"/>
          <w:lang w:val="en"/>
        </w:rPr>
        <w:t>Dewi</w:t>
      </w:r>
      <w:proofErr w:type="spellEnd"/>
      <w:r w:rsidR="001257E7" w:rsidRPr="001257E7">
        <w:rPr>
          <w:rFonts w:ascii="Times New Roman" w:hAnsi="Times New Roman" w:cs="Times New Roman"/>
          <w:b/>
          <w:sz w:val="22"/>
          <w:szCs w:val="22"/>
          <w:lang w:val="en"/>
        </w:rPr>
        <w:t xml:space="preserve"> </w:t>
      </w:r>
      <w:proofErr w:type="spellStart"/>
      <w:r w:rsidR="001257E7" w:rsidRPr="001257E7">
        <w:rPr>
          <w:rFonts w:ascii="Times New Roman" w:hAnsi="Times New Roman" w:cs="Times New Roman"/>
          <w:b/>
          <w:sz w:val="22"/>
          <w:szCs w:val="22"/>
          <w:lang w:val="en"/>
        </w:rPr>
        <w:t>Ramadani</w:t>
      </w:r>
      <w:proofErr w:type="spellEnd"/>
      <w:r w:rsidR="001257E7" w:rsidRPr="001257E7">
        <w:rPr>
          <w:rFonts w:ascii="Times New Roman" w:hAnsi="Times New Roman" w:cs="Times New Roman"/>
          <w:b/>
          <w:sz w:val="22"/>
          <w:szCs w:val="22"/>
          <w:lang w:eastAsia="id-ID"/>
        </w:rPr>
        <w:t xml:space="preserve"> </w:t>
      </w:r>
    </w:p>
    <w:p w14:paraId="284A02A8" w14:textId="3B0DF49D" w:rsidR="00E91D13" w:rsidRPr="001257E7" w:rsidRDefault="00E91D13" w:rsidP="001257E7">
      <w:pPr>
        <w:jc w:val="center"/>
        <w:rPr>
          <w:rFonts w:ascii="Times New Roman" w:hAnsi="Times New Roman" w:cs="Times New Roman"/>
          <w:bCs/>
          <w:sz w:val="22"/>
          <w:szCs w:val="22"/>
          <w:lang w:eastAsia="id-ID"/>
        </w:rPr>
      </w:pPr>
      <w:r w:rsidRPr="001257E7">
        <w:rPr>
          <w:rFonts w:ascii="Times New Roman" w:hAnsi="Times New Roman" w:cs="Times New Roman"/>
          <w:bCs/>
          <w:sz w:val="22"/>
          <w:szCs w:val="22"/>
          <w:lang w:eastAsia="id-ID"/>
        </w:rPr>
        <w:t xml:space="preserve">Program </w:t>
      </w:r>
      <w:proofErr w:type="spellStart"/>
      <w:r w:rsidRPr="001257E7">
        <w:rPr>
          <w:rFonts w:ascii="Times New Roman" w:hAnsi="Times New Roman" w:cs="Times New Roman"/>
          <w:bCs/>
          <w:sz w:val="22"/>
          <w:szCs w:val="22"/>
          <w:lang w:eastAsia="id-ID"/>
        </w:rPr>
        <w:t>Studi</w:t>
      </w:r>
      <w:proofErr w:type="spellEnd"/>
      <w:r w:rsidRPr="001257E7">
        <w:rPr>
          <w:rFonts w:ascii="Times New Roman" w:hAnsi="Times New Roman" w:cs="Times New Roman"/>
          <w:bCs/>
          <w:sz w:val="22"/>
          <w:szCs w:val="22"/>
          <w:lang w:eastAsia="id-ID"/>
        </w:rPr>
        <w:t xml:space="preserve"> Magister </w:t>
      </w:r>
      <w:proofErr w:type="spellStart"/>
      <w:r w:rsidRPr="001257E7">
        <w:rPr>
          <w:rFonts w:ascii="Times New Roman" w:hAnsi="Times New Roman" w:cs="Times New Roman"/>
          <w:bCs/>
          <w:sz w:val="22"/>
          <w:szCs w:val="22"/>
          <w:lang w:eastAsia="id-ID"/>
        </w:rPr>
        <w:t>Farmasi</w:t>
      </w:r>
      <w:proofErr w:type="spellEnd"/>
      <w:r w:rsidRPr="001257E7">
        <w:rPr>
          <w:rFonts w:ascii="Times New Roman" w:hAnsi="Times New Roman" w:cs="Times New Roman"/>
          <w:bCs/>
          <w:sz w:val="22"/>
          <w:szCs w:val="22"/>
          <w:lang w:eastAsia="id-ID"/>
        </w:rPr>
        <w:t xml:space="preserve"> Universitas Surabaya, </w:t>
      </w:r>
      <w:r w:rsidR="001257E7">
        <w:rPr>
          <w:rFonts w:ascii="Times New Roman" w:hAnsi="Times New Roman" w:cs="Times New Roman"/>
          <w:bCs/>
          <w:sz w:val="22"/>
          <w:szCs w:val="22"/>
          <w:lang w:eastAsia="id-ID"/>
        </w:rPr>
        <w:t>Indonesia</w:t>
      </w:r>
    </w:p>
    <w:p w14:paraId="1B06B956" w14:textId="25D3D58B" w:rsidR="00677BF4" w:rsidRPr="001257E7" w:rsidRDefault="001A34DE" w:rsidP="001257E7">
      <w:pPr>
        <w:jc w:val="center"/>
        <w:rPr>
          <w:rFonts w:ascii="Times New Roman" w:hAnsi="Times New Roman" w:cs="Times New Roman"/>
          <w:color w:val="000000" w:themeColor="text1"/>
          <w:sz w:val="22"/>
          <w:szCs w:val="22"/>
          <w:lang w:val="en-US"/>
        </w:rPr>
      </w:pPr>
      <w:r w:rsidRPr="001257E7">
        <w:rPr>
          <w:rFonts w:ascii="Times New Roman" w:hAnsi="Times New Roman" w:cs="Times New Roman"/>
          <w:color w:val="000000" w:themeColor="text1"/>
          <w:sz w:val="22"/>
          <w:szCs w:val="22"/>
          <w:lang w:val="en"/>
        </w:rPr>
        <w:t xml:space="preserve">Email: </w:t>
      </w:r>
      <w:hyperlink r:id="rId8" w:history="1">
        <w:r w:rsidRPr="001257E7">
          <w:rPr>
            <w:rStyle w:val="Hyperlink"/>
            <w:rFonts w:ascii="Times New Roman" w:hAnsi="Times New Roman" w:cs="Times New Roman"/>
            <w:color w:val="000000" w:themeColor="text1"/>
            <w:sz w:val="22"/>
            <w:szCs w:val="22"/>
            <w:u w:val="none"/>
            <w:lang w:val="en"/>
          </w:rPr>
          <w:t>Adithalimbar@gmail.com</w:t>
        </w:r>
      </w:hyperlink>
      <w:r w:rsidRPr="001257E7">
        <w:rPr>
          <w:rFonts w:ascii="Times New Roman" w:hAnsi="Times New Roman" w:cs="Times New Roman"/>
          <w:color w:val="000000" w:themeColor="text1"/>
          <w:sz w:val="22"/>
          <w:szCs w:val="22"/>
          <w:lang w:val="en"/>
        </w:rPr>
        <w:t xml:space="preserve">, </w:t>
      </w:r>
      <w:hyperlink r:id="rId9" w:history="1">
        <w:r w:rsidR="00935685" w:rsidRPr="001257E7">
          <w:rPr>
            <w:rStyle w:val="Hyperlink"/>
            <w:rFonts w:ascii="Times New Roman" w:hAnsi="Times New Roman" w:cs="Times New Roman"/>
            <w:sz w:val="22"/>
            <w:szCs w:val="22"/>
            <w:lang w:val="en"/>
          </w:rPr>
          <w:t>s114118521@student.ubaya.ac.id</w:t>
        </w:r>
      </w:hyperlink>
    </w:p>
    <w:p w14:paraId="78E41208" w14:textId="1F4069C3" w:rsidR="00935685" w:rsidRPr="001257E7" w:rsidRDefault="00935685" w:rsidP="001257E7">
      <w:pPr>
        <w:jc w:val="center"/>
        <w:rPr>
          <w:rFonts w:ascii="Times New Roman" w:hAnsi="Times New Roman" w:cs="Times New Roman"/>
          <w:color w:val="000000" w:themeColor="text1"/>
          <w:sz w:val="22"/>
          <w:szCs w:val="22"/>
          <w:lang w:val="en-US"/>
        </w:rPr>
      </w:pPr>
    </w:p>
    <w:p w14:paraId="052632D0" w14:textId="3020CBEA" w:rsidR="00935685" w:rsidRPr="001257E7" w:rsidRDefault="00935685" w:rsidP="001257E7">
      <w:pPr>
        <w:jc w:val="center"/>
        <w:rPr>
          <w:rFonts w:ascii="Times New Roman" w:hAnsi="Times New Roman" w:cs="Times New Roman"/>
          <w:b/>
          <w:bCs/>
          <w:color w:val="000000" w:themeColor="text1"/>
          <w:lang w:val="en-US"/>
        </w:rPr>
      </w:pPr>
      <w:r w:rsidRPr="001257E7">
        <w:rPr>
          <w:rFonts w:ascii="Times New Roman" w:hAnsi="Times New Roman" w:cs="Times New Roman"/>
          <w:b/>
          <w:bCs/>
          <w:color w:val="000000" w:themeColor="text1"/>
          <w:lang w:val="en"/>
        </w:rPr>
        <w:t>ABSTRACT</w:t>
      </w:r>
    </w:p>
    <w:p w14:paraId="36C98C2D" w14:textId="42078732" w:rsidR="003214B2" w:rsidRPr="001257E7" w:rsidRDefault="00935685" w:rsidP="001257E7">
      <w:pPr>
        <w:jc w:val="both"/>
        <w:rPr>
          <w:rFonts w:ascii="Times New Roman" w:hAnsi="Times New Roman" w:cs="Times New Roman"/>
          <w:sz w:val="22"/>
          <w:szCs w:val="22"/>
        </w:rPr>
      </w:pPr>
      <w:r w:rsidRPr="001257E7">
        <w:rPr>
          <w:rFonts w:ascii="Times New Roman" w:hAnsi="Times New Roman" w:cs="Times New Roman"/>
          <w:sz w:val="22"/>
          <w:szCs w:val="22"/>
          <w:lang w:val="en"/>
        </w:rPr>
        <w:t>Cases of</w:t>
      </w:r>
      <w:r w:rsidRPr="001257E7">
        <w:rPr>
          <w:rFonts w:ascii="Times New Roman" w:hAnsi="Times New Roman" w:cs="Times New Roman"/>
          <w:i/>
          <w:iCs/>
          <w:sz w:val="22"/>
          <w:szCs w:val="22"/>
          <w:lang w:val="en"/>
        </w:rPr>
        <w:t xml:space="preserve"> Coronavirus Disease </w:t>
      </w:r>
      <w:r w:rsidRPr="001257E7">
        <w:rPr>
          <w:rFonts w:ascii="Times New Roman" w:hAnsi="Times New Roman" w:cs="Times New Roman"/>
          <w:sz w:val="22"/>
          <w:szCs w:val="22"/>
          <w:lang w:val="en"/>
        </w:rPr>
        <w:t>2019 or COVID-19</w:t>
      </w:r>
      <w:r w:rsidR="001257E7">
        <w:rPr>
          <w:rFonts w:ascii="Times New Roman" w:hAnsi="Times New Roman" w:cs="Times New Roman"/>
          <w:sz w:val="22"/>
          <w:szCs w:val="22"/>
          <w:lang w:val="en"/>
        </w:rPr>
        <w:t xml:space="preserve"> </w:t>
      </w:r>
      <w:r w:rsidRPr="001257E7">
        <w:rPr>
          <w:rFonts w:ascii="Times New Roman" w:hAnsi="Times New Roman" w:cs="Times New Roman"/>
          <w:sz w:val="22"/>
          <w:szCs w:val="22"/>
          <w:lang w:val="en"/>
        </w:rPr>
        <w:t xml:space="preserve">from year to year show a tendency to increase spread </w:t>
      </w:r>
      <w:r w:rsidR="001257E7">
        <w:rPr>
          <w:rFonts w:ascii="Times New Roman" w:hAnsi="Times New Roman" w:cs="Times New Roman"/>
          <w:sz w:val="22"/>
          <w:szCs w:val="22"/>
          <w:lang w:val="en"/>
        </w:rPr>
        <w:t>worldwide</w:t>
      </w:r>
      <w:r w:rsidRPr="001257E7">
        <w:rPr>
          <w:rFonts w:ascii="Times New Roman" w:hAnsi="Times New Roman" w:cs="Times New Roman"/>
          <w:sz w:val="22"/>
          <w:szCs w:val="22"/>
          <w:lang w:val="en"/>
        </w:rPr>
        <w:t>, including Indonesia.</w:t>
      </w:r>
      <w:r w:rsidR="001257E7">
        <w:rPr>
          <w:rFonts w:ascii="Times New Roman" w:hAnsi="Times New Roman" w:cs="Times New Roman"/>
          <w:sz w:val="22"/>
          <w:szCs w:val="22"/>
          <w:lang w:val="en"/>
        </w:rPr>
        <w:t xml:space="preserve"> </w:t>
      </w:r>
      <w:r w:rsidRPr="001257E7">
        <w:rPr>
          <w:rFonts w:ascii="Times New Roman" w:hAnsi="Times New Roman" w:cs="Times New Roman"/>
          <w:sz w:val="22"/>
          <w:szCs w:val="22"/>
          <w:lang w:val="en"/>
        </w:rPr>
        <w:t xml:space="preserve">COVID-19 is an infectious disease caused by a virus so </w:t>
      </w:r>
      <w:r w:rsidR="001257E7">
        <w:rPr>
          <w:rFonts w:ascii="Times New Roman" w:hAnsi="Times New Roman" w:cs="Times New Roman"/>
          <w:sz w:val="22"/>
          <w:szCs w:val="22"/>
          <w:lang w:val="en"/>
        </w:rPr>
        <w:t>redeliver</w:t>
      </w:r>
      <w:r w:rsidRPr="001257E7">
        <w:rPr>
          <w:rFonts w:ascii="Times New Roman" w:hAnsi="Times New Roman" w:cs="Times New Roman"/>
          <w:sz w:val="22"/>
          <w:szCs w:val="22"/>
          <w:lang w:val="en"/>
        </w:rPr>
        <w:t xml:space="preserve"> and Favipiravir antiviral therapy is needed. This study compared the cost-effectiveness analysis of the drugs Ravipiravir and Remdesivir in COVID-19 disease at Haji Hospital Surabaya. This study compares observationally between 2 (two) alternatives using a hospital perspective and data collection carried out retrospectively in the period April 2021 to October 2021. The Cost Effectiveness</w:t>
      </w:r>
      <w:r w:rsidR="001257E7">
        <w:rPr>
          <w:rFonts w:ascii="Times New Roman" w:hAnsi="Times New Roman" w:cs="Times New Roman"/>
          <w:sz w:val="22"/>
          <w:szCs w:val="22"/>
          <w:lang w:val="en"/>
        </w:rPr>
        <w:t xml:space="preserve"> </w:t>
      </w:r>
      <w:r w:rsidR="00A56887" w:rsidRPr="001257E7">
        <w:rPr>
          <w:rFonts w:ascii="Times New Roman" w:hAnsi="Times New Roman" w:cs="Times New Roman"/>
          <w:i/>
          <w:iCs/>
          <w:sz w:val="22"/>
          <w:szCs w:val="22"/>
          <w:lang w:val="en"/>
        </w:rPr>
        <w:t>Analysis</w:t>
      </w:r>
      <w:r w:rsidRPr="001257E7">
        <w:rPr>
          <w:rFonts w:ascii="Times New Roman" w:hAnsi="Times New Roman" w:cs="Times New Roman"/>
          <w:sz w:val="22"/>
          <w:szCs w:val="22"/>
          <w:lang w:val="en"/>
        </w:rPr>
        <w:t xml:space="preserve"> method</w:t>
      </w:r>
      <w:r w:rsidR="001257E7">
        <w:rPr>
          <w:rFonts w:ascii="Times New Roman" w:hAnsi="Times New Roman" w:cs="Times New Roman"/>
          <w:sz w:val="22"/>
          <w:szCs w:val="22"/>
          <w:lang w:val="en"/>
        </w:rPr>
        <w:t xml:space="preserve"> </w:t>
      </w:r>
      <w:r w:rsidR="0094464E" w:rsidRPr="001257E7">
        <w:rPr>
          <w:rFonts w:ascii="Times New Roman" w:hAnsi="Times New Roman" w:cs="Times New Roman"/>
          <w:sz w:val="22"/>
          <w:szCs w:val="22"/>
          <w:lang w:val="en"/>
        </w:rPr>
        <w:t>used is</w:t>
      </w:r>
      <w:r w:rsidR="00BE12B3" w:rsidRPr="001257E7">
        <w:rPr>
          <w:rFonts w:ascii="Times New Roman" w:hAnsi="Times New Roman" w:cs="Times New Roman"/>
          <w:i/>
          <w:iCs/>
          <w:sz w:val="22"/>
          <w:szCs w:val="22"/>
          <w:lang w:val="en"/>
        </w:rPr>
        <w:t xml:space="preserve"> the Cost-Effectiveness Ratio</w:t>
      </w:r>
      <w:r w:rsidR="001257E7">
        <w:rPr>
          <w:rFonts w:ascii="Times New Roman" w:hAnsi="Times New Roman" w:cs="Times New Roman"/>
          <w:i/>
          <w:iCs/>
          <w:sz w:val="22"/>
          <w:szCs w:val="22"/>
          <w:lang w:val="en"/>
        </w:rPr>
        <w:t xml:space="preserve"> </w:t>
      </w:r>
      <w:r w:rsidR="00BE12B3" w:rsidRPr="001257E7">
        <w:rPr>
          <w:rFonts w:ascii="Times New Roman" w:hAnsi="Times New Roman" w:cs="Times New Roman"/>
          <w:sz w:val="22"/>
          <w:szCs w:val="22"/>
          <w:lang w:val="en"/>
        </w:rPr>
        <w:t>(ACER). The results of the data obtained from the ACER cost-effectiveness analysis method in the Favipiravir group are Rp.</w:t>
      </w:r>
      <w:r w:rsidR="001257E7">
        <w:rPr>
          <w:rFonts w:ascii="Times New Roman" w:hAnsi="Times New Roman" w:cs="Times New Roman"/>
          <w:sz w:val="22"/>
          <w:szCs w:val="22"/>
          <w:lang w:val="en"/>
        </w:rPr>
        <w:t xml:space="preserve"> </w:t>
      </w:r>
      <w:r w:rsidR="006A3FA0" w:rsidRPr="001257E7">
        <w:rPr>
          <w:rFonts w:ascii="Times New Roman" w:hAnsi="Times New Roman" w:cs="Times New Roman"/>
          <w:color w:val="000000"/>
          <w:sz w:val="22"/>
          <w:szCs w:val="22"/>
          <w:lang w:val="en"/>
        </w:rPr>
        <w:t>2,820,601.63</w:t>
      </w:r>
      <w:r w:rsidR="006A3FA0" w:rsidRPr="001257E7">
        <w:rPr>
          <w:rFonts w:ascii="Times New Roman" w:hAnsi="Times New Roman" w:cs="Times New Roman"/>
          <w:sz w:val="22"/>
          <w:szCs w:val="22"/>
          <w:lang w:val="en"/>
        </w:rPr>
        <w:t xml:space="preserve"> per day for length of stay and Rp.</w:t>
      </w:r>
      <w:r w:rsidR="001257E7">
        <w:rPr>
          <w:rFonts w:ascii="Times New Roman" w:hAnsi="Times New Roman" w:cs="Times New Roman"/>
          <w:sz w:val="22"/>
          <w:szCs w:val="22"/>
          <w:lang w:val="en"/>
        </w:rPr>
        <w:t xml:space="preserve"> </w:t>
      </w:r>
      <w:r w:rsidR="006A3FA0" w:rsidRPr="001257E7">
        <w:rPr>
          <w:rFonts w:ascii="Times New Roman" w:hAnsi="Times New Roman" w:cs="Times New Roman"/>
          <w:color w:val="000000"/>
          <w:sz w:val="22"/>
          <w:szCs w:val="22"/>
          <w:lang w:val="en"/>
        </w:rPr>
        <w:t xml:space="preserve">6,485,071.79 </w:t>
      </w:r>
      <w:r w:rsidR="004F1D63" w:rsidRPr="001257E7">
        <w:rPr>
          <w:rFonts w:ascii="Times New Roman" w:hAnsi="Times New Roman" w:cs="Times New Roman"/>
          <w:sz w:val="22"/>
          <w:szCs w:val="22"/>
          <w:lang w:val="en"/>
        </w:rPr>
        <w:t>per day for COVID-19-free time. While in the Remdesivir group Rp.</w:t>
      </w:r>
      <w:r w:rsidR="001257E7">
        <w:rPr>
          <w:rFonts w:ascii="Times New Roman" w:hAnsi="Times New Roman" w:cs="Times New Roman"/>
          <w:sz w:val="22"/>
          <w:szCs w:val="22"/>
          <w:lang w:val="en"/>
        </w:rPr>
        <w:t xml:space="preserve"> </w:t>
      </w:r>
      <w:r w:rsidR="006A3FA0" w:rsidRPr="001257E7">
        <w:rPr>
          <w:rFonts w:ascii="Times New Roman" w:hAnsi="Times New Roman" w:cs="Times New Roman"/>
          <w:color w:val="000000"/>
          <w:sz w:val="22"/>
          <w:szCs w:val="22"/>
          <w:lang w:val="en"/>
        </w:rPr>
        <w:t>3,311,510.74</w:t>
      </w:r>
      <w:r w:rsidR="004F1D63" w:rsidRPr="001257E7">
        <w:rPr>
          <w:rFonts w:ascii="Times New Roman" w:hAnsi="Times New Roman" w:cs="Times New Roman"/>
          <w:sz w:val="22"/>
          <w:szCs w:val="22"/>
          <w:lang w:val="en"/>
        </w:rPr>
        <w:t xml:space="preserve"> per day for </w:t>
      </w:r>
      <w:r w:rsidR="001257E7">
        <w:rPr>
          <w:rFonts w:ascii="Times New Roman" w:hAnsi="Times New Roman" w:cs="Times New Roman"/>
          <w:sz w:val="22"/>
          <w:szCs w:val="22"/>
          <w:lang w:val="en"/>
        </w:rPr>
        <w:t xml:space="preserve">the </w:t>
      </w:r>
      <w:r w:rsidR="004F1D63" w:rsidRPr="001257E7">
        <w:rPr>
          <w:rFonts w:ascii="Times New Roman" w:hAnsi="Times New Roman" w:cs="Times New Roman"/>
          <w:sz w:val="22"/>
          <w:szCs w:val="22"/>
          <w:lang w:val="en"/>
        </w:rPr>
        <w:t>length of stay and Rp.</w:t>
      </w:r>
      <w:r w:rsidR="001257E7">
        <w:rPr>
          <w:rFonts w:ascii="Times New Roman" w:hAnsi="Times New Roman" w:cs="Times New Roman"/>
          <w:sz w:val="22"/>
          <w:szCs w:val="22"/>
          <w:lang w:val="en"/>
        </w:rPr>
        <w:t xml:space="preserve"> </w:t>
      </w:r>
      <w:r w:rsidR="006A3FA0" w:rsidRPr="001257E7">
        <w:rPr>
          <w:rFonts w:ascii="Times New Roman" w:hAnsi="Times New Roman" w:cs="Times New Roman"/>
          <w:color w:val="000000"/>
          <w:sz w:val="22"/>
          <w:szCs w:val="22"/>
          <w:lang w:val="en"/>
        </w:rPr>
        <w:t xml:space="preserve">8,329,527.98 </w:t>
      </w:r>
      <w:r w:rsidR="004F1D63" w:rsidRPr="001257E7">
        <w:rPr>
          <w:rFonts w:ascii="Times New Roman" w:hAnsi="Times New Roman" w:cs="Times New Roman"/>
          <w:sz w:val="22"/>
          <w:szCs w:val="22"/>
          <w:lang w:val="en"/>
        </w:rPr>
        <w:t>per day for COVID-19-free time. Meanwhile, the ICER analysis method is</w:t>
      </w:r>
      <w:r w:rsidRPr="001257E7">
        <w:rPr>
          <w:rFonts w:ascii="Times New Roman" w:hAnsi="Times New Roman" w:cs="Times New Roman"/>
          <w:sz w:val="22"/>
          <w:szCs w:val="22"/>
          <w:lang w:val="en"/>
        </w:rPr>
        <w:t xml:space="preserve"> Rp.</w:t>
      </w:r>
      <w:r w:rsidR="001257E7">
        <w:rPr>
          <w:rFonts w:ascii="Times New Roman" w:hAnsi="Times New Roman" w:cs="Times New Roman"/>
          <w:sz w:val="22"/>
          <w:szCs w:val="22"/>
          <w:lang w:val="en"/>
        </w:rPr>
        <w:t xml:space="preserve"> </w:t>
      </w:r>
      <w:r w:rsidR="003214B2" w:rsidRPr="001257E7">
        <w:rPr>
          <w:rFonts w:ascii="Times New Roman" w:hAnsi="Times New Roman" w:cs="Times New Roman"/>
          <w:color w:val="000000"/>
          <w:sz w:val="22"/>
          <w:szCs w:val="22"/>
          <w:lang w:val="en"/>
        </w:rPr>
        <w:t>6,195,280.50 per day for the length of hospitalization and Rp. 34,802,899 per day</w:t>
      </w:r>
      <w:r w:rsidR="003214B2" w:rsidRPr="001257E7">
        <w:rPr>
          <w:rFonts w:ascii="Times New Roman" w:hAnsi="Times New Roman" w:cs="Times New Roman"/>
          <w:sz w:val="22"/>
          <w:szCs w:val="22"/>
          <w:lang w:val="en"/>
        </w:rPr>
        <w:t xml:space="preserve"> for COVID-19-free time. </w:t>
      </w:r>
      <w:r w:rsidR="001257E7">
        <w:rPr>
          <w:rFonts w:ascii="Times New Roman" w:hAnsi="Times New Roman" w:cs="Times New Roman"/>
          <w:sz w:val="22"/>
          <w:szCs w:val="22"/>
          <w:lang w:val="en"/>
        </w:rPr>
        <w:t>This study concludes</w:t>
      </w:r>
      <w:r w:rsidR="003214B2" w:rsidRPr="001257E7">
        <w:rPr>
          <w:rFonts w:ascii="Times New Roman" w:hAnsi="Times New Roman" w:cs="Times New Roman"/>
          <w:sz w:val="22"/>
          <w:szCs w:val="22"/>
          <w:lang w:val="en"/>
        </w:rPr>
        <w:t xml:space="preserve"> that Favipiravir is more</w:t>
      </w:r>
      <w:r w:rsidR="003C4467" w:rsidRPr="001257E7">
        <w:rPr>
          <w:rFonts w:ascii="Times New Roman" w:hAnsi="Times New Roman" w:cs="Times New Roman"/>
          <w:i/>
          <w:iCs/>
          <w:sz w:val="22"/>
          <w:szCs w:val="22"/>
          <w:lang w:val="en"/>
        </w:rPr>
        <w:t xml:space="preserve"> cost-effective</w:t>
      </w:r>
      <w:r w:rsidR="003C4467" w:rsidRPr="001257E7">
        <w:rPr>
          <w:rFonts w:ascii="Times New Roman" w:hAnsi="Times New Roman" w:cs="Times New Roman"/>
          <w:sz w:val="22"/>
          <w:szCs w:val="22"/>
          <w:lang w:val="en"/>
        </w:rPr>
        <w:t xml:space="preserve"> than Remdesivir</w:t>
      </w:r>
      <w:r w:rsidR="001257E7">
        <w:rPr>
          <w:rFonts w:ascii="Times New Roman" w:hAnsi="Times New Roman" w:cs="Times New Roman"/>
          <w:sz w:val="22"/>
          <w:szCs w:val="22"/>
          <w:lang w:val="en"/>
        </w:rPr>
        <w:t>.</w:t>
      </w:r>
    </w:p>
    <w:p w14:paraId="1F62BB58" w14:textId="5E1DA6B9" w:rsidR="003214B2" w:rsidRPr="001257E7" w:rsidRDefault="003214B2" w:rsidP="001257E7">
      <w:pPr>
        <w:jc w:val="both"/>
        <w:rPr>
          <w:rFonts w:ascii="Times New Roman" w:hAnsi="Times New Roman" w:cs="Times New Roman"/>
          <w:sz w:val="22"/>
          <w:szCs w:val="22"/>
        </w:rPr>
      </w:pPr>
      <w:proofErr w:type="gramStart"/>
      <w:r w:rsidRPr="001257E7">
        <w:rPr>
          <w:rFonts w:ascii="Times New Roman" w:hAnsi="Times New Roman" w:cs="Times New Roman"/>
          <w:sz w:val="22"/>
          <w:szCs w:val="22"/>
          <w:lang w:val="en"/>
        </w:rPr>
        <w:t>Keywords :</w:t>
      </w:r>
      <w:proofErr w:type="gramEnd"/>
      <w:r w:rsidR="00A56887" w:rsidRPr="001257E7">
        <w:rPr>
          <w:rFonts w:ascii="Times New Roman" w:hAnsi="Times New Roman" w:cs="Times New Roman"/>
          <w:i/>
          <w:iCs/>
          <w:sz w:val="22"/>
          <w:szCs w:val="22"/>
          <w:lang w:val="en"/>
        </w:rPr>
        <w:t xml:space="preserve"> </w:t>
      </w:r>
      <w:r w:rsidR="001257E7">
        <w:rPr>
          <w:rFonts w:ascii="Times New Roman" w:hAnsi="Times New Roman" w:cs="Times New Roman"/>
          <w:i/>
          <w:iCs/>
          <w:sz w:val="22"/>
          <w:szCs w:val="22"/>
          <w:lang w:val="en"/>
        </w:rPr>
        <w:t>Cost-Effectiveness</w:t>
      </w:r>
      <w:r w:rsidR="00A56887" w:rsidRPr="001257E7">
        <w:rPr>
          <w:rFonts w:ascii="Times New Roman" w:hAnsi="Times New Roman" w:cs="Times New Roman"/>
          <w:i/>
          <w:iCs/>
          <w:sz w:val="22"/>
          <w:szCs w:val="22"/>
          <w:lang w:val="en"/>
        </w:rPr>
        <w:t xml:space="preserve"> Analysis</w:t>
      </w:r>
      <w:r w:rsidRPr="001257E7">
        <w:rPr>
          <w:rFonts w:ascii="Times New Roman" w:hAnsi="Times New Roman" w:cs="Times New Roman"/>
          <w:sz w:val="22"/>
          <w:szCs w:val="22"/>
          <w:lang w:val="en"/>
        </w:rPr>
        <w:t>,</w:t>
      </w:r>
      <w:r w:rsidR="001257E7">
        <w:rPr>
          <w:rFonts w:ascii="Times New Roman" w:hAnsi="Times New Roman" w:cs="Times New Roman"/>
          <w:sz w:val="22"/>
          <w:szCs w:val="22"/>
          <w:lang w:val="en"/>
        </w:rPr>
        <w:t xml:space="preserve"> </w:t>
      </w:r>
      <w:r w:rsidRPr="001257E7">
        <w:rPr>
          <w:rFonts w:ascii="Times New Roman" w:hAnsi="Times New Roman" w:cs="Times New Roman"/>
          <w:sz w:val="22"/>
          <w:szCs w:val="22"/>
          <w:lang w:val="en"/>
        </w:rPr>
        <w:t xml:space="preserve">COVID-19, </w:t>
      </w:r>
      <w:proofErr w:type="spellStart"/>
      <w:r w:rsidRPr="001257E7">
        <w:rPr>
          <w:rFonts w:ascii="Times New Roman" w:hAnsi="Times New Roman" w:cs="Times New Roman"/>
          <w:sz w:val="22"/>
          <w:szCs w:val="22"/>
          <w:lang w:val="en"/>
        </w:rPr>
        <w:t>Ravipiravir</w:t>
      </w:r>
      <w:proofErr w:type="spellEnd"/>
      <w:r w:rsidRPr="001257E7">
        <w:rPr>
          <w:rFonts w:ascii="Times New Roman" w:hAnsi="Times New Roman" w:cs="Times New Roman"/>
          <w:sz w:val="22"/>
          <w:szCs w:val="22"/>
          <w:lang w:val="en"/>
        </w:rPr>
        <w:t>, Remdesivir</w:t>
      </w:r>
    </w:p>
    <w:p w14:paraId="40578615" w14:textId="77777777" w:rsidR="005F32AD" w:rsidRPr="001257E7" w:rsidRDefault="005F32AD" w:rsidP="001257E7">
      <w:pPr>
        <w:jc w:val="both"/>
        <w:rPr>
          <w:rFonts w:ascii="Times New Roman" w:hAnsi="Times New Roman" w:cs="Times New Roman"/>
          <w:sz w:val="22"/>
          <w:szCs w:val="22"/>
        </w:rPr>
      </w:pPr>
    </w:p>
    <w:p w14:paraId="686694D9" w14:textId="23C67899" w:rsidR="003C4467" w:rsidRPr="001257E7" w:rsidRDefault="003C4467" w:rsidP="001257E7">
      <w:pPr>
        <w:pStyle w:val="DaftarParagraf"/>
        <w:numPr>
          <w:ilvl w:val="0"/>
          <w:numId w:val="2"/>
        </w:numPr>
        <w:jc w:val="both"/>
        <w:rPr>
          <w:rFonts w:ascii="Times New Roman" w:hAnsi="Times New Roman" w:cs="Times New Roman"/>
          <w:b/>
          <w:bCs/>
        </w:rPr>
      </w:pPr>
      <w:r w:rsidRPr="001257E7">
        <w:rPr>
          <w:rFonts w:ascii="Times New Roman" w:hAnsi="Times New Roman" w:cs="Times New Roman"/>
          <w:b/>
          <w:bCs/>
          <w:lang w:val="en"/>
        </w:rPr>
        <w:t>Introduction</w:t>
      </w:r>
    </w:p>
    <w:p w14:paraId="7C6F5763" w14:textId="7DC804AD" w:rsidR="005735AB" w:rsidRPr="001257E7" w:rsidRDefault="005735AB" w:rsidP="001257E7">
      <w:pPr>
        <w:ind w:firstLine="709"/>
        <w:jc w:val="both"/>
        <w:rPr>
          <w:rFonts w:ascii="Times New Roman" w:hAnsi="Times New Roman" w:cs="Times New Roman"/>
          <w:sz w:val="22"/>
          <w:szCs w:val="22"/>
        </w:rPr>
      </w:pPr>
      <w:r w:rsidRPr="001257E7">
        <w:rPr>
          <w:rFonts w:ascii="Times New Roman" w:hAnsi="Times New Roman" w:cs="Times New Roman"/>
          <w:sz w:val="22"/>
          <w:szCs w:val="22"/>
          <w:lang w:val="en"/>
        </w:rPr>
        <w:t>Cases of</w:t>
      </w:r>
      <w:r w:rsidRPr="001257E7">
        <w:rPr>
          <w:rFonts w:ascii="Times New Roman" w:hAnsi="Times New Roman" w:cs="Times New Roman"/>
          <w:i/>
          <w:iCs/>
          <w:sz w:val="22"/>
          <w:szCs w:val="22"/>
          <w:lang w:val="en"/>
        </w:rPr>
        <w:t xml:space="preserve"> Coronavirus Disease </w:t>
      </w:r>
      <w:r w:rsidRPr="001257E7">
        <w:rPr>
          <w:rFonts w:ascii="Times New Roman" w:hAnsi="Times New Roman" w:cs="Times New Roman"/>
          <w:sz w:val="22"/>
          <w:szCs w:val="22"/>
          <w:lang w:val="en"/>
        </w:rPr>
        <w:t>2019 or COVID-19 tend to increase rapidly spreading throughout Indonesia. WHO reported that in July 2021 it had reached</w:t>
      </w:r>
      <w:r w:rsidRPr="001257E7">
        <w:rPr>
          <w:rFonts w:ascii="Times New Roman" w:hAnsi="Times New Roman" w:cs="Times New Roman"/>
          <w:color w:val="000000"/>
          <w:sz w:val="22"/>
          <w:szCs w:val="22"/>
          <w:lang w:val="en"/>
        </w:rPr>
        <w:t xml:space="preserve"> 36,057,8392 </w:t>
      </w:r>
      <w:r w:rsidRPr="001257E7">
        <w:rPr>
          <w:rFonts w:ascii="Times New Roman" w:hAnsi="Times New Roman" w:cs="Times New Roman"/>
          <w:sz w:val="22"/>
          <w:szCs w:val="22"/>
          <w:lang w:val="en"/>
        </w:rPr>
        <w:t>cases of COVID-19 and 5,620,865 deaths worldwide (</w:t>
      </w:r>
      <w:r w:rsidRPr="001257E7">
        <w:rPr>
          <w:rFonts w:ascii="Times New Roman" w:hAnsi="Times New Roman" w:cs="Times New Roman"/>
          <w:i/>
          <w:iCs/>
          <w:sz w:val="22"/>
          <w:szCs w:val="22"/>
          <w:lang w:val="en"/>
        </w:rPr>
        <w:t>Case Fatality Rate</w:t>
      </w:r>
      <w:r w:rsidRPr="001257E7">
        <w:rPr>
          <w:rFonts w:ascii="Times New Roman" w:hAnsi="Times New Roman" w:cs="Times New Roman"/>
          <w:sz w:val="22"/>
          <w:szCs w:val="22"/>
          <w:lang w:val="en"/>
        </w:rPr>
        <w:t xml:space="preserve"> / CFR 4.8%). </w:t>
      </w:r>
      <w:r w:rsidRPr="001257E7">
        <w:rPr>
          <w:rFonts w:ascii="Times New Roman" w:hAnsi="Times New Roman" w:cs="Times New Roman"/>
          <w:sz w:val="22"/>
          <w:szCs w:val="22"/>
          <w:vertAlign w:val="superscript"/>
          <w:lang w:val="en"/>
        </w:rPr>
        <w:t>1</w:t>
      </w:r>
      <w:r w:rsidRPr="001257E7">
        <w:rPr>
          <w:rFonts w:ascii="Times New Roman" w:hAnsi="Times New Roman" w:cs="Times New Roman"/>
          <w:sz w:val="22"/>
          <w:szCs w:val="22"/>
          <w:lang w:val="en"/>
        </w:rPr>
        <w:t xml:space="preserve">The Ministry of Health </w:t>
      </w:r>
      <w:r w:rsidRPr="001257E7">
        <w:rPr>
          <w:rFonts w:ascii="Times New Roman" w:hAnsi="Times New Roman" w:cs="Times New Roman"/>
          <w:color w:val="000000" w:themeColor="text1"/>
          <w:sz w:val="22"/>
          <w:szCs w:val="22"/>
          <w:lang w:val="en"/>
        </w:rPr>
        <w:t>reported that</w:t>
      </w:r>
      <w:r w:rsidRPr="001257E7">
        <w:rPr>
          <w:rFonts w:ascii="Times New Roman" w:hAnsi="Times New Roman" w:cs="Times New Roman"/>
          <w:sz w:val="22"/>
          <w:szCs w:val="22"/>
          <w:lang w:val="en"/>
        </w:rPr>
        <w:t xml:space="preserve"> in November 2021 it had reached</w:t>
      </w:r>
      <w:r w:rsidRPr="001257E7">
        <w:rPr>
          <w:rFonts w:ascii="Times New Roman" w:hAnsi="Times New Roman" w:cs="Times New Roman"/>
          <w:color w:val="000000" w:themeColor="text1"/>
          <w:sz w:val="22"/>
          <w:szCs w:val="22"/>
          <w:lang w:val="en"/>
        </w:rPr>
        <w:t xml:space="preserve"> 4,246,802 confirmed cases of</w:t>
      </w:r>
      <w:r w:rsidRPr="001257E7">
        <w:rPr>
          <w:rFonts w:ascii="Times New Roman" w:hAnsi="Times New Roman" w:cs="Times New Roman"/>
          <w:sz w:val="22"/>
          <w:szCs w:val="22"/>
          <w:lang w:val="en"/>
        </w:rPr>
        <w:t xml:space="preserve"> COVID-19 with 143,500 deaths in Indonesia (CFR 2%). </w:t>
      </w:r>
      <w:r w:rsidRPr="001257E7">
        <w:rPr>
          <w:rFonts w:ascii="Times New Roman" w:hAnsi="Times New Roman" w:cs="Times New Roman"/>
          <w:sz w:val="22"/>
          <w:szCs w:val="22"/>
          <w:vertAlign w:val="superscript"/>
          <w:lang w:val="en"/>
        </w:rPr>
        <w:t>2</w:t>
      </w:r>
    </w:p>
    <w:p w14:paraId="3AE2A269" w14:textId="77777777" w:rsidR="005735AB" w:rsidRPr="001257E7" w:rsidRDefault="005735AB" w:rsidP="001257E7">
      <w:pPr>
        <w:ind w:firstLine="680"/>
        <w:contextualSpacing/>
        <w:jc w:val="both"/>
        <w:rPr>
          <w:rFonts w:ascii="Times New Roman" w:hAnsi="Times New Roman" w:cs="Times New Roman"/>
          <w:color w:val="000000" w:themeColor="text1"/>
          <w:sz w:val="22"/>
          <w:szCs w:val="22"/>
          <w:vertAlign w:val="superscript"/>
        </w:rPr>
      </w:pPr>
      <w:r w:rsidRPr="001257E7">
        <w:rPr>
          <w:rFonts w:ascii="Times New Roman" w:hAnsi="Times New Roman" w:cs="Times New Roman"/>
          <w:sz w:val="22"/>
          <w:szCs w:val="22"/>
          <w:lang w:val="en"/>
        </w:rPr>
        <w:t xml:space="preserve">COVID-19 is an infectious disease caused by </w:t>
      </w:r>
      <w:proofErr w:type="gramStart"/>
      <w:r w:rsidRPr="001257E7">
        <w:rPr>
          <w:rFonts w:ascii="Times New Roman" w:hAnsi="Times New Roman" w:cs="Times New Roman"/>
          <w:i/>
          <w:iCs/>
          <w:sz w:val="22"/>
          <w:szCs w:val="22"/>
          <w:lang w:val="en"/>
        </w:rPr>
        <w:t>Severe Acute Respiratory Syndrome</w:t>
      </w:r>
      <w:proofErr w:type="gramEnd"/>
      <w:r w:rsidRPr="001257E7">
        <w:rPr>
          <w:rFonts w:ascii="Times New Roman" w:hAnsi="Times New Roman" w:cs="Times New Roman"/>
          <w:sz w:val="22"/>
          <w:szCs w:val="22"/>
          <w:lang w:val="en"/>
        </w:rPr>
        <w:t xml:space="preserve"> (SARS)</w:t>
      </w:r>
      <w:r w:rsidRPr="001257E7">
        <w:rPr>
          <w:rFonts w:ascii="Times New Roman" w:hAnsi="Times New Roman" w:cs="Times New Roman"/>
          <w:i/>
          <w:iCs/>
          <w:sz w:val="22"/>
          <w:szCs w:val="22"/>
          <w:lang w:val="en"/>
        </w:rPr>
        <w:t>.</w:t>
      </w:r>
      <w:r w:rsidRPr="001257E7">
        <w:rPr>
          <w:rFonts w:ascii="Times New Roman" w:hAnsi="Times New Roman" w:cs="Times New Roman"/>
          <w:sz w:val="22"/>
          <w:szCs w:val="22"/>
          <w:lang w:val="en"/>
        </w:rPr>
        <w:t xml:space="preserve"> </w:t>
      </w:r>
      <w:r w:rsidRPr="001257E7">
        <w:rPr>
          <w:rFonts w:ascii="Times New Roman" w:hAnsi="Times New Roman" w:cs="Times New Roman"/>
          <w:sz w:val="22"/>
          <w:szCs w:val="22"/>
          <w:vertAlign w:val="superscript"/>
          <w:lang w:val="en"/>
        </w:rPr>
        <w:t xml:space="preserve">3 </w:t>
      </w:r>
      <w:r w:rsidRPr="001257E7">
        <w:rPr>
          <w:rFonts w:ascii="Times New Roman" w:hAnsi="Times New Roman" w:cs="Times New Roman"/>
          <w:sz w:val="22"/>
          <w:szCs w:val="22"/>
          <w:lang w:val="en"/>
        </w:rPr>
        <w:t xml:space="preserve">COVID-19 is an infectious disease caused by a virus so antiviral therapy is needed. </w:t>
      </w:r>
      <w:r w:rsidRPr="001257E7">
        <w:rPr>
          <w:rFonts w:ascii="Times New Roman" w:hAnsi="Times New Roman" w:cs="Times New Roman"/>
          <w:sz w:val="22"/>
          <w:szCs w:val="22"/>
          <w:vertAlign w:val="superscript"/>
          <w:lang w:val="en"/>
        </w:rPr>
        <w:t>5</w:t>
      </w:r>
      <w:r w:rsidRPr="001257E7">
        <w:rPr>
          <w:rFonts w:ascii="Times New Roman" w:hAnsi="Times New Roman" w:cs="Times New Roman"/>
          <w:sz w:val="22"/>
          <w:szCs w:val="22"/>
          <w:lang w:val="en"/>
        </w:rPr>
        <w:t xml:space="preserve"> Antivirals that can be used in people with moderate or severe symptoms are Remdesivir and Favipiravir. Both of these drugs</w:t>
      </w:r>
      <w:r w:rsidRPr="001257E7">
        <w:rPr>
          <w:rFonts w:ascii="Times New Roman" w:hAnsi="Times New Roman" w:cs="Times New Roman"/>
          <w:color w:val="000000" w:themeColor="text1"/>
          <w:sz w:val="22"/>
          <w:szCs w:val="22"/>
          <w:lang w:val="en"/>
        </w:rPr>
        <w:t xml:space="preserve"> are</w:t>
      </w:r>
      <w:r w:rsidRPr="001257E7">
        <w:rPr>
          <w:rFonts w:ascii="Times New Roman" w:hAnsi="Times New Roman" w:cs="Times New Roman"/>
          <w:i/>
          <w:iCs/>
          <w:color w:val="000000" w:themeColor="text1"/>
          <w:sz w:val="22"/>
          <w:szCs w:val="22"/>
          <w:lang w:val="en"/>
        </w:rPr>
        <w:t xml:space="preserve"> prodrug</w:t>
      </w:r>
      <w:r w:rsidRPr="001257E7">
        <w:rPr>
          <w:rFonts w:ascii="Times New Roman" w:hAnsi="Times New Roman" w:cs="Times New Roman"/>
          <w:color w:val="000000" w:themeColor="text1"/>
          <w:sz w:val="22"/>
          <w:szCs w:val="22"/>
          <w:lang w:val="en"/>
        </w:rPr>
        <w:t xml:space="preserve"> nucleotide analogues that can inhibit RNA </w:t>
      </w:r>
      <w:r w:rsidRPr="001257E7">
        <w:rPr>
          <w:rFonts w:ascii="Times New Roman" w:hAnsi="Times New Roman" w:cs="Times New Roman"/>
          <w:i/>
          <w:iCs/>
          <w:color w:val="000000" w:themeColor="text1"/>
          <w:sz w:val="22"/>
          <w:szCs w:val="22"/>
          <w:lang w:val="en"/>
        </w:rPr>
        <w:t>polymerase</w:t>
      </w:r>
      <w:r w:rsidRPr="001257E7">
        <w:rPr>
          <w:rFonts w:ascii="Times New Roman" w:hAnsi="Times New Roman" w:cs="Times New Roman"/>
          <w:color w:val="000000" w:themeColor="text1"/>
          <w:sz w:val="22"/>
          <w:szCs w:val="22"/>
          <w:lang w:val="en"/>
        </w:rPr>
        <w:t xml:space="preserve"> from viruses and have shown in vitro activity against</w:t>
      </w:r>
      <w:r w:rsidRPr="001257E7">
        <w:rPr>
          <w:rFonts w:ascii="Times New Roman" w:hAnsi="Times New Roman" w:cs="Times New Roman"/>
          <w:sz w:val="22"/>
          <w:szCs w:val="22"/>
          <w:lang w:val="en"/>
        </w:rPr>
        <w:t xml:space="preserve"> COVID-19. </w:t>
      </w:r>
      <w:r w:rsidRPr="001257E7">
        <w:rPr>
          <w:rFonts w:ascii="Times New Roman" w:hAnsi="Times New Roman" w:cs="Times New Roman"/>
          <w:sz w:val="22"/>
          <w:szCs w:val="22"/>
          <w:vertAlign w:val="superscript"/>
          <w:lang w:val="en"/>
        </w:rPr>
        <w:t>7</w:t>
      </w:r>
      <w:r w:rsidRPr="001257E7">
        <w:rPr>
          <w:rFonts w:ascii="Times New Roman" w:hAnsi="Times New Roman" w:cs="Times New Roman"/>
          <w:sz w:val="22"/>
          <w:szCs w:val="22"/>
          <w:lang w:val="en"/>
        </w:rPr>
        <w:t xml:space="preserve"> The clinical manifestations of COVID-19 patients are broad in spectrum, with a division of about 80% of cases classified as mild or moderate, 13.8% experiencing severe illness, and as many as 6.1% of patients falling into a critical state. </w:t>
      </w:r>
      <w:r w:rsidRPr="001257E7">
        <w:rPr>
          <w:rFonts w:ascii="Times New Roman" w:hAnsi="Times New Roman" w:cs="Times New Roman"/>
          <w:sz w:val="22"/>
          <w:szCs w:val="22"/>
          <w:vertAlign w:val="superscript"/>
          <w:lang w:val="en"/>
        </w:rPr>
        <w:t>4</w:t>
      </w:r>
      <w:r w:rsidRPr="001257E7">
        <w:rPr>
          <w:rFonts w:ascii="Times New Roman" w:hAnsi="Times New Roman" w:cs="Times New Roman"/>
          <w:sz w:val="22"/>
          <w:szCs w:val="22"/>
          <w:lang w:val="en"/>
        </w:rPr>
        <w:t xml:space="preserve"> Antivirals that can be used in people with moderate or severe symptoms are Remdesivir and Favipiravir. </w:t>
      </w:r>
    </w:p>
    <w:p w14:paraId="237D6DF6" w14:textId="77777777" w:rsidR="005735AB" w:rsidRPr="001257E7" w:rsidRDefault="005735AB" w:rsidP="001257E7">
      <w:pPr>
        <w:ind w:firstLine="680"/>
        <w:contextualSpacing/>
        <w:jc w:val="both"/>
        <w:rPr>
          <w:rFonts w:ascii="Times New Roman" w:hAnsi="Times New Roman" w:cs="Times New Roman"/>
          <w:sz w:val="22"/>
          <w:szCs w:val="22"/>
          <w:vertAlign w:val="superscript"/>
        </w:rPr>
      </w:pPr>
      <w:r w:rsidRPr="001257E7">
        <w:rPr>
          <w:rFonts w:ascii="Times New Roman" w:hAnsi="Times New Roman" w:cs="Times New Roman"/>
          <w:sz w:val="22"/>
          <w:szCs w:val="22"/>
          <w:lang w:val="en"/>
        </w:rPr>
        <w:t>According to the COVID-19 treatment procedures compiled by the Ministry of Health in 2020, it is divided into the management of asymptomatic people (OTG), people with mild, moderate, and severe symptoms. Especially for moderate to severe diseases, isolation must be carried out for 14 days in the hospital. According to the treatment procedures for COVID-19 compiled by the Indonesian Lung Doctors Association (PDPI) in 2020, Remdesivir with a dose of 200 mg IV drip (day 1) then therapy continued 1x100 mg IV drip (days 2-5 or days 2-10). While Favipiravir with a dosage of 200 mg with</w:t>
      </w:r>
      <w:r w:rsidRPr="001257E7">
        <w:rPr>
          <w:rFonts w:ascii="Times New Roman" w:hAnsi="Times New Roman" w:cs="Times New Roman"/>
          <w:i/>
          <w:iCs/>
          <w:sz w:val="22"/>
          <w:szCs w:val="22"/>
          <w:lang w:val="en"/>
        </w:rPr>
        <w:t xml:space="preserve"> a loading dose</w:t>
      </w:r>
      <w:r w:rsidRPr="001257E7">
        <w:rPr>
          <w:rFonts w:ascii="Times New Roman" w:hAnsi="Times New Roman" w:cs="Times New Roman"/>
          <w:sz w:val="22"/>
          <w:szCs w:val="22"/>
          <w:lang w:val="en"/>
        </w:rPr>
        <w:t xml:space="preserve"> of 1600 mg per 12 hours orally on the first day and continued 2x 600 mg on day 2 to day 5. </w:t>
      </w:r>
      <w:r w:rsidRPr="001257E7">
        <w:rPr>
          <w:rFonts w:ascii="Times New Roman" w:hAnsi="Times New Roman" w:cs="Times New Roman"/>
          <w:sz w:val="22"/>
          <w:szCs w:val="22"/>
          <w:vertAlign w:val="superscript"/>
          <w:lang w:val="en"/>
        </w:rPr>
        <w:t>6</w:t>
      </w:r>
    </w:p>
    <w:p w14:paraId="1DF04BB7" w14:textId="0B53C258" w:rsidR="005735AB" w:rsidRPr="001257E7" w:rsidRDefault="005735AB" w:rsidP="001257E7">
      <w:pPr>
        <w:pStyle w:val="NormalWeb"/>
        <w:spacing w:before="0" w:beforeAutospacing="0" w:after="0" w:afterAutospacing="0"/>
        <w:ind w:firstLine="680"/>
        <w:contextualSpacing/>
        <w:jc w:val="both"/>
        <w:rPr>
          <w:i/>
          <w:iCs/>
          <w:color w:val="000000" w:themeColor="text1"/>
          <w:sz w:val="22"/>
          <w:szCs w:val="22"/>
          <w:vertAlign w:val="superscript"/>
        </w:rPr>
      </w:pPr>
      <w:r w:rsidRPr="001257E7">
        <w:rPr>
          <w:color w:val="000000" w:themeColor="text1"/>
          <w:sz w:val="22"/>
          <w:szCs w:val="22"/>
          <w:lang w:val="en"/>
        </w:rPr>
        <w:t>There are several studies comparing the therapeutic efficacy of Remdesivir and Favipiravir. Clinical</w:t>
      </w:r>
      <w:r w:rsidRPr="001257E7">
        <w:rPr>
          <w:color w:val="202124"/>
          <w:sz w:val="22"/>
          <w:szCs w:val="22"/>
          <w:lang w:val="en"/>
        </w:rPr>
        <w:t xml:space="preserve"> uji</w:t>
      </w:r>
      <w:r w:rsidR="001257E7">
        <w:rPr>
          <w:color w:val="202124"/>
          <w:sz w:val="22"/>
          <w:szCs w:val="22"/>
          <w:lang w:val="en"/>
        </w:rPr>
        <w:t xml:space="preserve"> </w:t>
      </w:r>
      <w:r w:rsidRPr="001257E7">
        <w:rPr>
          <w:sz w:val="22"/>
          <w:szCs w:val="22"/>
          <w:lang w:val="en"/>
        </w:rPr>
        <w:t>has been</w:t>
      </w:r>
      <w:r w:rsidR="001257E7">
        <w:rPr>
          <w:sz w:val="22"/>
          <w:szCs w:val="22"/>
          <w:lang w:val="en"/>
        </w:rPr>
        <w:t xml:space="preserve"> </w:t>
      </w:r>
      <w:r w:rsidRPr="001257E7">
        <w:rPr>
          <w:sz w:val="22"/>
          <w:szCs w:val="22"/>
          <w:lang w:val="en"/>
        </w:rPr>
        <w:t xml:space="preserve">performed that </w:t>
      </w:r>
      <w:r w:rsidRPr="001257E7">
        <w:rPr>
          <w:color w:val="202124"/>
          <w:sz w:val="22"/>
          <w:szCs w:val="22"/>
          <w:lang w:val="en"/>
        </w:rPr>
        <w:t>has shown an</w:t>
      </w:r>
      <w:r w:rsidR="001257E7">
        <w:rPr>
          <w:color w:val="202124"/>
          <w:sz w:val="22"/>
          <w:szCs w:val="22"/>
          <w:lang w:val="en"/>
        </w:rPr>
        <w:t xml:space="preserve"> </w:t>
      </w:r>
      <w:r w:rsidRPr="001257E7">
        <w:rPr>
          <w:sz w:val="22"/>
          <w:szCs w:val="22"/>
          <w:lang w:val="en"/>
        </w:rPr>
        <w:t xml:space="preserve">association of </w:t>
      </w:r>
      <w:r w:rsidRPr="001257E7">
        <w:rPr>
          <w:color w:val="202124"/>
          <w:sz w:val="22"/>
          <w:szCs w:val="22"/>
          <w:lang w:val="en"/>
        </w:rPr>
        <w:t>Remdesivir with a low increase in the frequency of side effects when compared to Favipiravir with clinical indicators of these patients improved significantly on the 7th and 14th days (72.6% and 86.5</w:t>
      </w:r>
      <w:r w:rsidRPr="001257E7">
        <w:rPr>
          <w:sz w:val="22"/>
          <w:szCs w:val="22"/>
          <w:lang w:val="en"/>
        </w:rPr>
        <w:t>% in mild COVID-19</w:t>
      </w:r>
      <w:r w:rsidR="001257E7">
        <w:rPr>
          <w:sz w:val="22"/>
          <w:szCs w:val="22"/>
          <w:lang w:val="en"/>
        </w:rPr>
        <w:t xml:space="preserve"> </w:t>
      </w:r>
      <w:r w:rsidRPr="001257E7">
        <w:rPr>
          <w:sz w:val="22"/>
          <w:szCs w:val="22"/>
          <w:lang w:val="en"/>
        </w:rPr>
        <w:t xml:space="preserve">cases, 63.4% </w:t>
      </w:r>
      <w:r w:rsidRPr="001257E7">
        <w:rPr>
          <w:sz w:val="22"/>
          <w:szCs w:val="22"/>
          <w:lang w:val="en"/>
        </w:rPr>
        <w:lastRenderedPageBreak/>
        <w:t>and</w:t>
      </w:r>
      <w:r w:rsidR="001257E7">
        <w:rPr>
          <w:sz w:val="22"/>
          <w:szCs w:val="22"/>
          <w:lang w:val="en"/>
        </w:rPr>
        <w:t xml:space="preserve"> </w:t>
      </w:r>
      <w:r w:rsidRPr="001257E7">
        <w:rPr>
          <w:color w:val="202124"/>
          <w:sz w:val="22"/>
          <w:szCs w:val="22"/>
          <w:lang w:val="en"/>
        </w:rPr>
        <w:t>77.2% in moderate cases, as well as 46.6% and 60.4% in severe cases)</w:t>
      </w:r>
      <w:r w:rsidRPr="001257E7">
        <w:rPr>
          <w:sz w:val="22"/>
          <w:szCs w:val="22"/>
          <w:lang w:val="en"/>
        </w:rPr>
        <w:t xml:space="preserve">. </w:t>
      </w:r>
      <w:r w:rsidRPr="001257E7">
        <w:rPr>
          <w:sz w:val="22"/>
          <w:szCs w:val="22"/>
          <w:vertAlign w:val="superscript"/>
          <w:lang w:val="en"/>
        </w:rPr>
        <w:t>8</w:t>
      </w:r>
      <w:r w:rsidRPr="001257E7">
        <w:rPr>
          <w:color w:val="000000" w:themeColor="text1"/>
          <w:sz w:val="22"/>
          <w:szCs w:val="22"/>
          <w:lang w:val="en"/>
        </w:rPr>
        <w:t xml:space="preserve"> </w:t>
      </w:r>
      <w:proofErr w:type="spellStart"/>
      <w:r w:rsidRPr="001257E7">
        <w:rPr>
          <w:color w:val="000000" w:themeColor="text1"/>
          <w:sz w:val="22"/>
          <w:szCs w:val="22"/>
          <w:lang w:val="en"/>
        </w:rPr>
        <w:t>Puse</w:t>
      </w:r>
      <w:proofErr w:type="spellEnd"/>
      <w:r w:rsidRPr="001257E7">
        <w:rPr>
          <w:color w:val="000000" w:themeColor="text1"/>
          <w:sz w:val="22"/>
          <w:szCs w:val="22"/>
          <w:lang w:val="en"/>
        </w:rPr>
        <w:t xml:space="preserve"> of Favipiravir tends to be more promising for</w:t>
      </w:r>
      <w:r w:rsidRPr="001257E7">
        <w:rPr>
          <w:sz w:val="22"/>
          <w:szCs w:val="22"/>
          <w:lang w:val="en"/>
        </w:rPr>
        <w:t xml:space="preserve"> therapeutic and </w:t>
      </w:r>
      <w:r w:rsidRPr="001257E7">
        <w:rPr>
          <w:color w:val="000000" w:themeColor="text1"/>
          <w:sz w:val="22"/>
          <w:szCs w:val="22"/>
          <w:lang w:val="en"/>
        </w:rPr>
        <w:t>cost-effective effects, especially in low- and middle-income countries.</w:t>
      </w:r>
      <w:r w:rsidR="001257E7">
        <w:rPr>
          <w:color w:val="000000" w:themeColor="text1"/>
          <w:sz w:val="22"/>
          <w:szCs w:val="22"/>
          <w:lang w:val="en"/>
        </w:rPr>
        <w:t xml:space="preserve"> </w:t>
      </w:r>
      <w:r w:rsidRPr="001257E7">
        <w:rPr>
          <w:color w:val="000000" w:themeColor="text1"/>
          <w:sz w:val="22"/>
          <w:szCs w:val="22"/>
          <w:lang w:val="en"/>
        </w:rPr>
        <w:t>This is one way of developing treatment and evaluating cost-effectiveness to inform appropriate resource allocation decisions.</w:t>
      </w:r>
      <w:r w:rsidRPr="001257E7">
        <w:rPr>
          <w:sz w:val="22"/>
          <w:szCs w:val="22"/>
          <w:lang w:val="en"/>
        </w:rPr>
        <w:t xml:space="preserve"> </w:t>
      </w:r>
      <w:r w:rsidRPr="001257E7">
        <w:rPr>
          <w:color w:val="000000" w:themeColor="text1"/>
          <w:sz w:val="22"/>
          <w:szCs w:val="22"/>
          <w:vertAlign w:val="superscript"/>
          <w:lang w:val="en"/>
        </w:rPr>
        <w:t>7</w:t>
      </w:r>
    </w:p>
    <w:p w14:paraId="26955AB0" w14:textId="3B88BFC2" w:rsidR="005735AB" w:rsidRPr="001257E7" w:rsidRDefault="005735AB" w:rsidP="001257E7">
      <w:pPr>
        <w:pStyle w:val="NormalWeb"/>
        <w:spacing w:before="0" w:beforeAutospacing="0" w:after="0" w:afterAutospacing="0"/>
        <w:ind w:firstLine="680"/>
        <w:contextualSpacing/>
        <w:jc w:val="both"/>
        <w:rPr>
          <w:sz w:val="22"/>
          <w:szCs w:val="22"/>
          <w:vertAlign w:val="superscript"/>
          <w:lang w:val="en-ID"/>
        </w:rPr>
      </w:pPr>
      <w:r w:rsidRPr="001257E7">
        <w:rPr>
          <w:color w:val="000000" w:themeColor="text1"/>
          <w:sz w:val="22"/>
          <w:szCs w:val="22"/>
          <w:lang w:val="en"/>
        </w:rPr>
        <w:t xml:space="preserve">In this study, it is necessary to conduct pharmacoeconomic testing to analyze the effectiveness of therapy in terms of cost efficiency </w:t>
      </w:r>
      <w:r w:rsidR="001257E7">
        <w:rPr>
          <w:color w:val="000000" w:themeColor="text1"/>
          <w:sz w:val="22"/>
          <w:szCs w:val="22"/>
          <w:lang w:val="en"/>
        </w:rPr>
        <w:t>to</w:t>
      </w:r>
      <w:r w:rsidRPr="001257E7">
        <w:rPr>
          <w:color w:val="000000" w:themeColor="text1"/>
          <w:sz w:val="22"/>
          <w:szCs w:val="22"/>
          <w:lang w:val="en"/>
        </w:rPr>
        <w:t xml:space="preserve"> achieve treatment of </w:t>
      </w:r>
      <w:r w:rsidR="001257E7">
        <w:rPr>
          <w:color w:val="000000" w:themeColor="text1"/>
          <w:sz w:val="22"/>
          <w:szCs w:val="22"/>
          <w:lang w:val="en"/>
        </w:rPr>
        <w:t>rational</w:t>
      </w:r>
      <w:r w:rsidRPr="001257E7">
        <w:rPr>
          <w:color w:val="000000" w:themeColor="text1"/>
          <w:sz w:val="22"/>
          <w:szCs w:val="22"/>
          <w:lang w:val="en"/>
        </w:rPr>
        <w:t>.</w:t>
      </w:r>
      <w:r w:rsidRPr="001257E7">
        <w:rPr>
          <w:sz w:val="22"/>
          <w:szCs w:val="22"/>
          <w:lang w:val="en"/>
        </w:rPr>
        <w:t xml:space="preserve"> </w:t>
      </w:r>
      <w:r w:rsidR="00626E92" w:rsidRPr="001257E7">
        <w:rPr>
          <w:color w:val="000000" w:themeColor="text1"/>
          <w:sz w:val="22"/>
          <w:szCs w:val="22"/>
          <w:vertAlign w:val="superscript"/>
          <w:lang w:val="en"/>
        </w:rPr>
        <w:t>9</w:t>
      </w:r>
      <w:r w:rsidRPr="001257E7">
        <w:rPr>
          <w:color w:val="000000" w:themeColor="text1"/>
          <w:sz w:val="22"/>
          <w:szCs w:val="22"/>
          <w:lang w:val="en"/>
        </w:rPr>
        <w:t xml:space="preserve"> </w:t>
      </w:r>
      <w:r w:rsidR="001257E7">
        <w:rPr>
          <w:color w:val="000000" w:themeColor="text1"/>
          <w:sz w:val="22"/>
          <w:szCs w:val="22"/>
          <w:lang w:val="en"/>
        </w:rPr>
        <w:t>several pharmacoeconomic methods have</w:t>
      </w:r>
      <w:r w:rsidRPr="001257E7">
        <w:rPr>
          <w:sz w:val="22"/>
          <w:szCs w:val="22"/>
          <w:lang w:val="en"/>
        </w:rPr>
        <w:t xml:space="preserve"> functions</w:t>
      </w:r>
      <w:r w:rsidR="001257E7">
        <w:rPr>
          <w:sz w:val="22"/>
          <w:szCs w:val="22"/>
          <w:lang w:val="en"/>
        </w:rPr>
        <w:t xml:space="preserve"> </w:t>
      </w:r>
      <w:r w:rsidRPr="001257E7">
        <w:rPr>
          <w:sz w:val="22"/>
          <w:szCs w:val="22"/>
          <w:lang w:val="en"/>
        </w:rPr>
        <w:t xml:space="preserve">and </w:t>
      </w:r>
      <w:r w:rsidRPr="001257E7">
        <w:rPr>
          <w:i/>
          <w:iCs/>
          <w:sz w:val="22"/>
          <w:szCs w:val="22"/>
          <w:lang w:val="en"/>
        </w:rPr>
        <w:t>outcomes</w:t>
      </w:r>
      <w:r w:rsidRPr="001257E7">
        <w:rPr>
          <w:sz w:val="22"/>
          <w:szCs w:val="22"/>
          <w:lang w:val="en"/>
        </w:rPr>
        <w:t xml:space="preserve"> with specific objectives, one of the methods that is in accordance with this study is the</w:t>
      </w:r>
      <w:r w:rsidR="001257E7">
        <w:rPr>
          <w:sz w:val="22"/>
          <w:szCs w:val="22"/>
          <w:lang w:val="en"/>
        </w:rPr>
        <w:t xml:space="preserve"> </w:t>
      </w:r>
      <w:r w:rsidRPr="001257E7">
        <w:rPr>
          <w:i/>
          <w:iCs/>
          <w:color w:val="212121"/>
          <w:sz w:val="22"/>
          <w:szCs w:val="22"/>
          <w:shd w:val="clear" w:color="auto" w:fill="FFFFFF"/>
          <w:lang w:val="en"/>
        </w:rPr>
        <w:t>Cost-Effectiveness Analysis</w:t>
      </w:r>
      <w:r w:rsidRPr="001257E7">
        <w:rPr>
          <w:color w:val="212121"/>
          <w:sz w:val="22"/>
          <w:szCs w:val="22"/>
          <w:shd w:val="clear" w:color="auto" w:fill="FFFFFF"/>
          <w:lang w:val="en"/>
        </w:rPr>
        <w:t xml:space="preserve"> (CEA) method because this method</w:t>
      </w:r>
      <w:r w:rsidRPr="001257E7">
        <w:rPr>
          <w:sz w:val="22"/>
          <w:szCs w:val="22"/>
          <w:lang w:val="en"/>
        </w:rPr>
        <w:t xml:space="preserve"> compares costs</w:t>
      </w:r>
      <w:r w:rsidR="001257E7">
        <w:rPr>
          <w:sz w:val="22"/>
          <w:szCs w:val="22"/>
          <w:lang w:val="en"/>
        </w:rPr>
        <w:t xml:space="preserve"> </w:t>
      </w:r>
      <w:r w:rsidRPr="001257E7">
        <w:rPr>
          <w:sz w:val="22"/>
          <w:szCs w:val="22"/>
          <w:lang w:val="en"/>
        </w:rPr>
        <w:t xml:space="preserve">and clinical </w:t>
      </w:r>
      <w:r w:rsidRPr="001257E7">
        <w:rPr>
          <w:i/>
          <w:iCs/>
          <w:sz w:val="22"/>
          <w:szCs w:val="22"/>
          <w:lang w:val="en"/>
        </w:rPr>
        <w:t>outcomes</w:t>
      </w:r>
      <w:r w:rsidRPr="001257E7">
        <w:rPr>
          <w:sz w:val="22"/>
          <w:szCs w:val="22"/>
          <w:lang w:val="en"/>
        </w:rPr>
        <w:t>, namely the effectiveness of treatment consisting of the</w:t>
      </w:r>
      <w:r w:rsidRPr="001257E7">
        <w:rPr>
          <w:bCs/>
          <w:sz w:val="22"/>
          <w:szCs w:val="22"/>
          <w:lang w:val="en"/>
        </w:rPr>
        <w:t xml:space="preserve"> length of stay or</w:t>
      </w:r>
      <w:r w:rsidRPr="001257E7">
        <w:rPr>
          <w:bCs/>
          <w:i/>
          <w:iCs/>
          <w:sz w:val="22"/>
          <w:szCs w:val="22"/>
          <w:lang w:val="en"/>
        </w:rPr>
        <w:t xml:space="preserve"> length of stay</w:t>
      </w:r>
      <w:r w:rsidRPr="001257E7">
        <w:rPr>
          <w:sz w:val="22"/>
          <w:szCs w:val="22"/>
          <w:lang w:val="en"/>
        </w:rPr>
        <w:t>,</w:t>
      </w:r>
      <w:r w:rsidR="001257E7">
        <w:rPr>
          <w:sz w:val="22"/>
          <w:szCs w:val="22"/>
          <w:lang w:val="en"/>
        </w:rPr>
        <w:t xml:space="preserve"> </w:t>
      </w:r>
      <w:r w:rsidRPr="001257E7">
        <w:rPr>
          <w:bCs/>
          <w:sz w:val="22"/>
          <w:szCs w:val="22"/>
          <w:lang w:val="en"/>
        </w:rPr>
        <w:t xml:space="preserve">laboratory results, and vital signs. </w:t>
      </w:r>
      <w:r w:rsidRPr="001257E7">
        <w:rPr>
          <w:bCs/>
          <w:sz w:val="22"/>
          <w:szCs w:val="22"/>
          <w:vertAlign w:val="superscript"/>
          <w:lang w:val="en"/>
        </w:rPr>
        <w:t>1</w:t>
      </w:r>
      <w:r w:rsidR="00626E92" w:rsidRPr="001257E7">
        <w:rPr>
          <w:bCs/>
          <w:sz w:val="22"/>
          <w:szCs w:val="22"/>
          <w:vertAlign w:val="superscript"/>
          <w:lang w:val="en"/>
        </w:rPr>
        <w:t>0</w:t>
      </w:r>
    </w:p>
    <w:p w14:paraId="034E62CC" w14:textId="1991E5B8" w:rsidR="002229F4" w:rsidRPr="001257E7" w:rsidRDefault="005735AB" w:rsidP="001257E7">
      <w:pPr>
        <w:pStyle w:val="NormalWeb"/>
        <w:spacing w:before="0" w:beforeAutospacing="0" w:after="0" w:afterAutospacing="0"/>
        <w:ind w:firstLine="680"/>
        <w:contextualSpacing/>
        <w:jc w:val="both"/>
        <w:rPr>
          <w:sz w:val="22"/>
          <w:szCs w:val="22"/>
        </w:rPr>
      </w:pPr>
      <w:r w:rsidRPr="001257E7">
        <w:rPr>
          <w:i/>
          <w:iCs/>
          <w:color w:val="212121"/>
          <w:sz w:val="22"/>
          <w:szCs w:val="22"/>
          <w:shd w:val="clear" w:color="auto" w:fill="FFFFFF"/>
          <w:lang w:val="en"/>
        </w:rPr>
        <w:t>Cost-Effectiveness Analysis</w:t>
      </w:r>
      <w:r w:rsidRPr="001257E7">
        <w:rPr>
          <w:color w:val="212121"/>
          <w:sz w:val="22"/>
          <w:szCs w:val="22"/>
          <w:shd w:val="clear" w:color="auto" w:fill="FFFFFF"/>
          <w:lang w:val="en"/>
        </w:rPr>
        <w:t xml:space="preserve"> (CEA) </w:t>
      </w:r>
      <w:r w:rsidRPr="001257E7">
        <w:rPr>
          <w:sz w:val="22"/>
          <w:szCs w:val="22"/>
          <w:lang w:val="en"/>
        </w:rPr>
        <w:t xml:space="preserve">is a method designed to assist health workers in identifying options determined among several alternatives by testing the ratio of cost differences and differences in health effectiveness. 1 </w:t>
      </w:r>
      <w:r w:rsidRPr="001257E7">
        <w:rPr>
          <w:sz w:val="22"/>
          <w:szCs w:val="22"/>
          <w:vertAlign w:val="superscript"/>
          <w:lang w:val="en"/>
        </w:rPr>
        <w:t>1</w:t>
      </w:r>
      <w:r w:rsidR="007B7F03" w:rsidRPr="001257E7">
        <w:rPr>
          <w:sz w:val="22"/>
          <w:szCs w:val="22"/>
          <w:lang w:val="en"/>
        </w:rPr>
        <w:t xml:space="preserve"> Remdesivir administration</w:t>
      </w:r>
      <w:r w:rsidR="001257E7">
        <w:rPr>
          <w:sz w:val="22"/>
          <w:szCs w:val="22"/>
          <w:lang w:val="en"/>
        </w:rPr>
        <w:t>,</w:t>
      </w:r>
      <w:r w:rsidR="007B7F03" w:rsidRPr="001257E7">
        <w:rPr>
          <w:sz w:val="22"/>
          <w:szCs w:val="22"/>
          <w:lang w:val="en"/>
        </w:rPr>
        <w:t xml:space="preserve"> when comparing total medical expenses with</w:t>
      </w:r>
      <w:r w:rsidRPr="001257E7">
        <w:rPr>
          <w:i/>
          <w:iCs/>
          <w:sz w:val="22"/>
          <w:szCs w:val="22"/>
          <w:lang w:val="en"/>
        </w:rPr>
        <w:t xml:space="preserve"> years of life saved </w:t>
      </w:r>
      <w:r w:rsidRPr="001257E7">
        <w:rPr>
          <w:sz w:val="22"/>
          <w:szCs w:val="22"/>
          <w:lang w:val="en"/>
        </w:rPr>
        <w:t>in a year</w:t>
      </w:r>
      <w:r w:rsidR="001257E7">
        <w:rPr>
          <w:sz w:val="22"/>
          <w:szCs w:val="22"/>
          <w:lang w:val="en"/>
        </w:rPr>
        <w:t>,</w:t>
      </w:r>
      <w:r w:rsidRPr="001257E7">
        <w:rPr>
          <w:sz w:val="22"/>
          <w:szCs w:val="22"/>
          <w:lang w:val="en"/>
        </w:rPr>
        <w:t xml:space="preserve"> can save costs against standard care and prevent mortality. </w:t>
      </w:r>
      <w:r w:rsidRPr="001257E7">
        <w:rPr>
          <w:sz w:val="22"/>
          <w:szCs w:val="22"/>
          <w:vertAlign w:val="superscript"/>
          <w:lang w:val="en"/>
        </w:rPr>
        <w:t>1</w:t>
      </w:r>
      <w:r w:rsidR="00626E92" w:rsidRPr="001257E7">
        <w:rPr>
          <w:sz w:val="22"/>
          <w:szCs w:val="22"/>
          <w:vertAlign w:val="superscript"/>
          <w:lang w:val="en"/>
        </w:rPr>
        <w:t>2</w:t>
      </w:r>
      <w:r w:rsidRPr="001257E7">
        <w:rPr>
          <w:sz w:val="22"/>
          <w:szCs w:val="22"/>
          <w:lang w:val="en"/>
        </w:rPr>
        <w:t xml:space="preserve"> So that in this study it is necessary to determine the effectiveness and efficiency of Remdesivir and Favipiravir antiviral treatment therapy with the CEA method </w:t>
      </w:r>
      <w:r w:rsidR="001257E7">
        <w:rPr>
          <w:sz w:val="22"/>
          <w:szCs w:val="22"/>
          <w:lang w:val="en"/>
        </w:rPr>
        <w:t>to</w:t>
      </w:r>
      <w:r w:rsidRPr="001257E7">
        <w:rPr>
          <w:sz w:val="22"/>
          <w:szCs w:val="22"/>
          <w:lang w:val="en"/>
        </w:rPr>
        <w:t xml:space="preserve"> achieve maximum treatment in hospitals, especially in Indonesia.</w:t>
      </w:r>
    </w:p>
    <w:p w14:paraId="06071240" w14:textId="77777777" w:rsidR="007810EE" w:rsidRPr="001257E7" w:rsidRDefault="007810EE" w:rsidP="001257E7">
      <w:pPr>
        <w:pStyle w:val="NormalWeb"/>
        <w:spacing w:before="0" w:beforeAutospacing="0" w:after="0" w:afterAutospacing="0"/>
        <w:ind w:firstLine="680"/>
        <w:contextualSpacing/>
        <w:jc w:val="both"/>
        <w:rPr>
          <w:sz w:val="22"/>
          <w:szCs w:val="22"/>
        </w:rPr>
      </w:pPr>
    </w:p>
    <w:p w14:paraId="7C546877" w14:textId="4CE67AEC" w:rsidR="005735AB" w:rsidRPr="001257E7" w:rsidRDefault="007B7F03" w:rsidP="001257E7">
      <w:pPr>
        <w:pStyle w:val="NormalWeb"/>
        <w:numPr>
          <w:ilvl w:val="0"/>
          <w:numId w:val="2"/>
        </w:numPr>
        <w:spacing w:before="0" w:beforeAutospacing="0" w:after="0" w:afterAutospacing="0"/>
        <w:contextualSpacing/>
        <w:jc w:val="both"/>
        <w:rPr>
          <w:b/>
          <w:bCs/>
        </w:rPr>
      </w:pPr>
      <w:r w:rsidRPr="001257E7">
        <w:rPr>
          <w:b/>
          <w:bCs/>
          <w:lang w:val="en"/>
        </w:rPr>
        <w:t>Method</w:t>
      </w:r>
    </w:p>
    <w:p w14:paraId="35C17C97" w14:textId="6755013E" w:rsidR="002229F4" w:rsidRPr="001257E7" w:rsidRDefault="003D59BD" w:rsidP="001257E7">
      <w:pPr>
        <w:pStyle w:val="NormalWeb"/>
        <w:spacing w:before="0" w:beforeAutospacing="0" w:after="0" w:afterAutospacing="0"/>
        <w:ind w:firstLine="709"/>
        <w:jc w:val="both"/>
        <w:rPr>
          <w:sz w:val="22"/>
          <w:szCs w:val="22"/>
        </w:rPr>
      </w:pPr>
      <w:r w:rsidRPr="001257E7">
        <w:rPr>
          <w:sz w:val="22"/>
          <w:szCs w:val="22"/>
          <w:lang w:val="en"/>
        </w:rPr>
        <w:t>The research design used in this study is a non-experimental research design with a retrospective method. This study is observational by comparing between two alternatives using a hospital perspective and data collection carried out in the period from April 2021 to October 2021. In this study, the method used was CEA with clinical</w:t>
      </w:r>
      <w:r w:rsidR="002229F4" w:rsidRPr="001257E7">
        <w:rPr>
          <w:i/>
          <w:iCs/>
          <w:sz w:val="22"/>
          <w:szCs w:val="22"/>
          <w:lang w:val="en"/>
        </w:rPr>
        <w:t xml:space="preserve"> outcomes</w:t>
      </w:r>
      <w:r w:rsidR="001257E7">
        <w:rPr>
          <w:i/>
          <w:iCs/>
          <w:sz w:val="22"/>
          <w:szCs w:val="22"/>
          <w:lang w:val="en"/>
        </w:rPr>
        <w:t>,</w:t>
      </w:r>
      <w:r w:rsidR="002229F4" w:rsidRPr="001257E7">
        <w:rPr>
          <w:sz w:val="22"/>
          <w:szCs w:val="22"/>
          <w:lang w:val="en"/>
        </w:rPr>
        <w:t xml:space="preserve"> namely the length of hospitalization and the recovery time of COVID-19. </w:t>
      </w:r>
    </w:p>
    <w:p w14:paraId="14DE5A0B" w14:textId="542FA1D2" w:rsidR="00D603DB" w:rsidRPr="001257E7" w:rsidRDefault="00D603DB" w:rsidP="001257E7">
      <w:pPr>
        <w:pStyle w:val="NormalWeb"/>
        <w:spacing w:before="0" w:beforeAutospacing="0" w:after="0" w:afterAutospacing="0"/>
        <w:ind w:firstLine="709"/>
        <w:jc w:val="both"/>
        <w:rPr>
          <w:sz w:val="22"/>
          <w:szCs w:val="22"/>
        </w:rPr>
      </w:pPr>
      <w:r w:rsidRPr="001257E7">
        <w:rPr>
          <w:bCs/>
          <w:sz w:val="22"/>
          <w:szCs w:val="22"/>
          <w:lang w:val="en"/>
        </w:rPr>
        <w:t>The variables depending on this study are the total overall cost and effectiveness of treatment therapy. While the free variables are</w:t>
      </w:r>
      <w:r w:rsidRPr="001257E7">
        <w:rPr>
          <w:sz w:val="22"/>
          <w:szCs w:val="22"/>
          <w:lang w:val="en"/>
        </w:rPr>
        <w:t xml:space="preserve"> Remdesivir antiviral therapy and Favipiravir antiviral therapy.</w:t>
      </w:r>
    </w:p>
    <w:p w14:paraId="16C30448" w14:textId="01FE0DE0" w:rsidR="00D603DB" w:rsidRPr="001257E7" w:rsidRDefault="00D603DB" w:rsidP="001257E7">
      <w:pPr>
        <w:tabs>
          <w:tab w:val="left" w:pos="709"/>
        </w:tabs>
        <w:jc w:val="both"/>
        <w:rPr>
          <w:rFonts w:ascii="Times New Roman" w:eastAsia="Times New Roman" w:hAnsi="Times New Roman" w:cs="Times New Roman"/>
          <w:sz w:val="22"/>
          <w:szCs w:val="22"/>
        </w:rPr>
      </w:pPr>
      <w:r w:rsidRPr="001257E7">
        <w:rPr>
          <w:rFonts w:ascii="Times New Roman" w:hAnsi="Times New Roman" w:cs="Times New Roman"/>
          <w:sz w:val="22"/>
          <w:szCs w:val="22"/>
          <w:lang w:val="en"/>
        </w:rPr>
        <w:tab/>
        <w:t xml:space="preserve">The target population in </w:t>
      </w:r>
      <w:r w:rsidR="001257E7">
        <w:rPr>
          <w:rFonts w:ascii="Times New Roman" w:hAnsi="Times New Roman" w:cs="Times New Roman"/>
          <w:sz w:val="22"/>
          <w:szCs w:val="22"/>
          <w:lang w:val="en"/>
        </w:rPr>
        <w:t xml:space="preserve">this study is all COVID-19 patients </w:t>
      </w:r>
      <w:r w:rsidRPr="001257E7">
        <w:rPr>
          <w:rFonts w:ascii="Times New Roman" w:hAnsi="Times New Roman" w:cs="Times New Roman"/>
          <w:sz w:val="22"/>
          <w:szCs w:val="22"/>
          <w:lang w:val="en"/>
        </w:rPr>
        <w:t>treated at the Hajj General Hospital in Surabaya from April 2021 to October 2021.</w:t>
      </w:r>
      <w:r w:rsidR="001257E7">
        <w:rPr>
          <w:rFonts w:ascii="Times New Roman" w:hAnsi="Times New Roman" w:cs="Times New Roman"/>
          <w:sz w:val="22"/>
          <w:szCs w:val="22"/>
          <w:lang w:val="en"/>
        </w:rPr>
        <w:t xml:space="preserve"> </w:t>
      </w:r>
      <w:r w:rsidR="00DD5261" w:rsidRPr="001257E7">
        <w:rPr>
          <w:rFonts w:ascii="Times New Roman" w:hAnsi="Times New Roman" w:cs="Times New Roman"/>
          <w:bCs/>
          <w:sz w:val="22"/>
          <w:szCs w:val="22"/>
          <w:lang w:val="en"/>
        </w:rPr>
        <w:t>The sampling technique is carried out by total sampling.</w:t>
      </w:r>
      <w:r w:rsidR="001257E7">
        <w:rPr>
          <w:rFonts w:ascii="Times New Roman" w:hAnsi="Times New Roman" w:cs="Times New Roman"/>
          <w:bCs/>
          <w:sz w:val="22"/>
          <w:szCs w:val="22"/>
          <w:lang w:val="en"/>
        </w:rPr>
        <w:t xml:space="preserve"> </w:t>
      </w:r>
      <w:r w:rsidRPr="001257E7">
        <w:rPr>
          <w:rFonts w:ascii="Times New Roman" w:hAnsi="Times New Roman" w:cs="Times New Roman"/>
          <w:sz w:val="22"/>
          <w:szCs w:val="22"/>
          <w:lang w:val="en"/>
        </w:rPr>
        <w:t>The sample in this study is part of the target population of the study object and has met the inclusion criteria with complete status data.</w:t>
      </w:r>
    </w:p>
    <w:p w14:paraId="013E4467" w14:textId="1D0CB5B7" w:rsidR="00DD5261" w:rsidRPr="001257E7" w:rsidRDefault="00DD5261" w:rsidP="001257E7">
      <w:pPr>
        <w:tabs>
          <w:tab w:val="left" w:pos="709"/>
        </w:tabs>
        <w:jc w:val="both"/>
        <w:rPr>
          <w:rFonts w:ascii="Times New Roman" w:eastAsia="Times New Roman" w:hAnsi="Times New Roman" w:cs="Times New Roman"/>
          <w:sz w:val="22"/>
          <w:szCs w:val="22"/>
        </w:rPr>
      </w:pPr>
      <w:r w:rsidRPr="001257E7">
        <w:rPr>
          <w:rFonts w:ascii="Times New Roman" w:hAnsi="Times New Roman" w:cs="Times New Roman"/>
          <w:sz w:val="22"/>
          <w:szCs w:val="22"/>
          <w:lang w:val="en"/>
        </w:rPr>
        <w:tab/>
        <w:t xml:space="preserve">The study was conducted </w:t>
      </w:r>
      <w:proofErr w:type="spellStart"/>
      <w:r w:rsidRPr="001257E7">
        <w:rPr>
          <w:rFonts w:ascii="Times New Roman" w:hAnsi="Times New Roman" w:cs="Times New Roman"/>
          <w:sz w:val="22"/>
          <w:szCs w:val="22"/>
          <w:lang w:val="en"/>
        </w:rPr>
        <w:t>restrospectively</w:t>
      </w:r>
      <w:proofErr w:type="spellEnd"/>
      <w:r w:rsidRPr="001257E7">
        <w:rPr>
          <w:rFonts w:ascii="Times New Roman" w:hAnsi="Times New Roman" w:cs="Times New Roman"/>
          <w:sz w:val="22"/>
          <w:szCs w:val="22"/>
          <w:lang w:val="en"/>
        </w:rPr>
        <w:t xml:space="preserve"> where all patient cost data and COVID-19 patient medical record data were collected at the Hajj General Hospital in Surabaya in the period from April 2021</w:t>
      </w:r>
      <w:r w:rsidR="001257E7">
        <w:rPr>
          <w:rFonts w:ascii="Times New Roman" w:hAnsi="Times New Roman" w:cs="Times New Roman"/>
          <w:sz w:val="22"/>
          <w:szCs w:val="22"/>
          <w:lang w:val="en"/>
        </w:rPr>
        <w:t xml:space="preserve"> </w:t>
      </w:r>
      <w:r w:rsidRPr="001257E7">
        <w:rPr>
          <w:rFonts w:ascii="Times New Roman" w:hAnsi="Times New Roman" w:cs="Times New Roman"/>
          <w:sz w:val="22"/>
          <w:szCs w:val="22"/>
          <w:lang w:val="en"/>
        </w:rPr>
        <w:t xml:space="preserve">to October 2021. Data analysis in this study compared the total direct cost with the effectiveness of treatment between each COVID-19 therapy group (Favipiravir therapy group and Remdesivir therapy group) so that it can be known which of each of these groups is </w:t>
      </w:r>
      <w:r w:rsidR="00E92FBA" w:rsidRPr="001257E7">
        <w:rPr>
          <w:rFonts w:ascii="Times New Roman" w:hAnsi="Times New Roman" w:cs="Times New Roman"/>
          <w:i/>
          <w:iCs/>
          <w:sz w:val="22"/>
          <w:szCs w:val="22"/>
          <w:lang w:val="en"/>
        </w:rPr>
        <w:t>cost effective</w:t>
      </w:r>
      <w:r w:rsidR="00E92FBA" w:rsidRPr="001257E7">
        <w:rPr>
          <w:rFonts w:ascii="Times New Roman" w:hAnsi="Times New Roman" w:cs="Times New Roman"/>
          <w:sz w:val="22"/>
          <w:szCs w:val="22"/>
          <w:lang w:val="en"/>
        </w:rPr>
        <w:t xml:space="preserve"> using</w:t>
      </w:r>
      <w:r w:rsidRPr="001257E7">
        <w:rPr>
          <w:rFonts w:ascii="Times New Roman" w:hAnsi="Times New Roman" w:cs="Times New Roman"/>
          <w:sz w:val="22"/>
          <w:szCs w:val="22"/>
          <w:lang w:val="en"/>
        </w:rPr>
        <w:t xml:space="preserve"> the</w:t>
      </w:r>
      <w:r w:rsidR="001257E7">
        <w:rPr>
          <w:rFonts w:ascii="Times New Roman" w:hAnsi="Times New Roman" w:cs="Times New Roman"/>
          <w:sz w:val="22"/>
          <w:szCs w:val="22"/>
          <w:lang w:val="en"/>
        </w:rPr>
        <w:t xml:space="preserve"> </w:t>
      </w:r>
      <w:r w:rsidR="00E92FBA" w:rsidRPr="001257E7">
        <w:rPr>
          <w:rFonts w:ascii="Times New Roman" w:hAnsi="Times New Roman" w:cs="Times New Roman"/>
          <w:i/>
          <w:iCs/>
          <w:sz w:val="22"/>
          <w:szCs w:val="22"/>
          <w:lang w:val="en"/>
        </w:rPr>
        <w:t xml:space="preserve">Average </w:t>
      </w:r>
      <w:r w:rsidR="00E92FBA" w:rsidRPr="001257E7">
        <w:rPr>
          <w:rFonts w:ascii="Times New Roman" w:hAnsi="Times New Roman" w:cs="Times New Roman"/>
          <w:i/>
          <w:iCs/>
          <w:color w:val="212121"/>
          <w:sz w:val="22"/>
          <w:szCs w:val="22"/>
          <w:shd w:val="clear" w:color="auto" w:fill="FFFFFF"/>
          <w:lang w:val="en"/>
        </w:rPr>
        <w:t xml:space="preserve">Cost-Effectiveness Ratio </w:t>
      </w:r>
      <w:r w:rsidR="00E92FBA" w:rsidRPr="001257E7">
        <w:rPr>
          <w:rFonts w:ascii="Times New Roman" w:hAnsi="Times New Roman" w:cs="Times New Roman"/>
          <w:color w:val="212121"/>
          <w:sz w:val="22"/>
          <w:szCs w:val="22"/>
          <w:shd w:val="clear" w:color="auto" w:fill="FFFFFF"/>
          <w:lang w:val="en"/>
        </w:rPr>
        <w:t>(</w:t>
      </w:r>
      <w:r w:rsidR="00E92FBA" w:rsidRPr="001257E7">
        <w:rPr>
          <w:rFonts w:ascii="Times New Roman" w:hAnsi="Times New Roman" w:cs="Times New Roman"/>
          <w:sz w:val="22"/>
          <w:szCs w:val="22"/>
          <w:lang w:val="en"/>
        </w:rPr>
        <w:t>ACER) method.</w:t>
      </w:r>
    </w:p>
    <w:p w14:paraId="2B2B4323" w14:textId="77777777" w:rsidR="00E92FBA" w:rsidRPr="001257E7" w:rsidRDefault="00E92FBA" w:rsidP="001257E7">
      <w:pPr>
        <w:tabs>
          <w:tab w:val="left" w:pos="709"/>
        </w:tabs>
        <w:jc w:val="both"/>
        <w:rPr>
          <w:rFonts w:ascii="Times New Roman" w:eastAsia="Times New Roman" w:hAnsi="Times New Roman" w:cs="Times New Roman"/>
          <w:sz w:val="22"/>
          <w:szCs w:val="22"/>
        </w:rPr>
      </w:pPr>
    </w:p>
    <w:p w14:paraId="0602CFAF" w14:textId="7C4DE475" w:rsidR="00E92FBA" w:rsidRPr="001257E7" w:rsidRDefault="00E92FBA" w:rsidP="001257E7">
      <w:pPr>
        <w:pStyle w:val="DaftarParagraf"/>
        <w:numPr>
          <w:ilvl w:val="0"/>
          <w:numId w:val="2"/>
        </w:numPr>
        <w:tabs>
          <w:tab w:val="left" w:pos="709"/>
        </w:tabs>
        <w:jc w:val="both"/>
        <w:rPr>
          <w:rFonts w:ascii="Times New Roman" w:hAnsi="Times New Roman" w:cs="Times New Roman"/>
          <w:b/>
        </w:rPr>
      </w:pPr>
      <w:r w:rsidRPr="001257E7">
        <w:rPr>
          <w:rFonts w:ascii="Times New Roman" w:hAnsi="Times New Roman" w:cs="Times New Roman"/>
          <w:b/>
          <w:lang w:val="en"/>
        </w:rPr>
        <w:t>Results of the discussion</w:t>
      </w:r>
    </w:p>
    <w:p w14:paraId="53425FB4" w14:textId="60CB7821" w:rsidR="00E92FBA" w:rsidRPr="001257E7" w:rsidRDefault="00E92FBA" w:rsidP="001257E7">
      <w:pPr>
        <w:pStyle w:val="DaftarParagraf"/>
        <w:numPr>
          <w:ilvl w:val="1"/>
          <w:numId w:val="2"/>
        </w:numPr>
        <w:tabs>
          <w:tab w:val="left" w:pos="709"/>
        </w:tabs>
        <w:jc w:val="both"/>
        <w:rPr>
          <w:rFonts w:ascii="Times New Roman" w:hAnsi="Times New Roman" w:cs="Times New Roman"/>
          <w:b/>
          <w:sz w:val="22"/>
          <w:szCs w:val="22"/>
        </w:rPr>
      </w:pPr>
      <w:r w:rsidRPr="001257E7">
        <w:rPr>
          <w:rFonts w:ascii="Times New Roman" w:hAnsi="Times New Roman" w:cs="Times New Roman"/>
          <w:b/>
          <w:sz w:val="22"/>
          <w:szCs w:val="22"/>
          <w:lang w:val="en"/>
        </w:rPr>
        <w:t>Sample Descriptive Data</w:t>
      </w:r>
    </w:p>
    <w:p w14:paraId="15E90555" w14:textId="2FA10293" w:rsidR="005B33CF" w:rsidRPr="001257E7" w:rsidRDefault="005B33CF" w:rsidP="001257E7">
      <w:pPr>
        <w:tabs>
          <w:tab w:val="left" w:pos="426"/>
        </w:tabs>
        <w:ind w:firstLine="709"/>
        <w:jc w:val="both"/>
        <w:rPr>
          <w:rFonts w:ascii="Times New Roman" w:hAnsi="Times New Roman" w:cs="Times New Roman"/>
          <w:sz w:val="22"/>
          <w:szCs w:val="22"/>
        </w:rPr>
      </w:pPr>
      <w:r w:rsidRPr="001257E7">
        <w:rPr>
          <w:rFonts w:ascii="Times New Roman" w:hAnsi="Times New Roman" w:cs="Times New Roman"/>
          <w:bCs/>
          <w:sz w:val="22"/>
          <w:szCs w:val="22"/>
          <w:lang w:val="en"/>
        </w:rPr>
        <w:t>In this study, 211 patients were obtained, consisting of 72 COVID-19 patients with the use of Remdesivir (</w:t>
      </w:r>
      <w:r w:rsidRPr="001257E7">
        <w:rPr>
          <w:rFonts w:ascii="Times New Roman" w:hAnsi="Times New Roman" w:cs="Times New Roman"/>
          <w:sz w:val="22"/>
          <w:szCs w:val="22"/>
          <w:lang w:val="en"/>
        </w:rPr>
        <w:t>Remdesivir Group) and 139 COVID-19 patients with the use of Favipiravir (Favipiravir group) in accordance with the inclusion criteria. The exclusion criteria in this study are</w:t>
      </w:r>
      <w:r w:rsidRPr="001257E7">
        <w:rPr>
          <w:rFonts w:ascii="Times New Roman" w:hAnsi="Times New Roman" w:cs="Times New Roman"/>
          <w:i/>
          <w:iCs/>
          <w:sz w:val="22"/>
          <w:szCs w:val="22"/>
          <w:lang w:val="en"/>
        </w:rPr>
        <w:t xml:space="preserve"> non-comorbid</w:t>
      </w:r>
      <w:r w:rsidRPr="001257E7">
        <w:rPr>
          <w:rFonts w:ascii="Times New Roman" w:hAnsi="Times New Roman" w:cs="Times New Roman"/>
          <w:sz w:val="22"/>
          <w:szCs w:val="22"/>
          <w:lang w:val="en"/>
        </w:rPr>
        <w:t xml:space="preserve"> diseases such as </w:t>
      </w:r>
      <w:proofErr w:type="spellStart"/>
      <w:r w:rsidRPr="001257E7">
        <w:rPr>
          <w:rFonts w:ascii="Times New Roman" w:hAnsi="Times New Roman" w:cs="Times New Roman"/>
          <w:sz w:val="22"/>
          <w:szCs w:val="22"/>
          <w:lang w:val="en"/>
        </w:rPr>
        <w:t>penumonia</w:t>
      </w:r>
      <w:proofErr w:type="spellEnd"/>
      <w:r w:rsidRPr="001257E7">
        <w:rPr>
          <w:rFonts w:ascii="Times New Roman" w:hAnsi="Times New Roman" w:cs="Times New Roman"/>
          <w:sz w:val="22"/>
          <w:szCs w:val="22"/>
          <w:lang w:val="en"/>
        </w:rPr>
        <w:t>, and hepatitis.</w:t>
      </w:r>
    </w:p>
    <w:p w14:paraId="39B125C7" w14:textId="6FE71E56" w:rsidR="005E204A" w:rsidRPr="001257E7" w:rsidRDefault="003A36DF" w:rsidP="001257E7">
      <w:pPr>
        <w:tabs>
          <w:tab w:val="left" w:pos="709"/>
        </w:tabs>
        <w:jc w:val="both"/>
        <w:rPr>
          <w:rFonts w:ascii="Times New Roman" w:hAnsi="Times New Roman" w:cs="Times New Roman"/>
          <w:sz w:val="22"/>
          <w:szCs w:val="22"/>
        </w:rPr>
      </w:pPr>
      <w:r w:rsidRPr="001257E7">
        <w:rPr>
          <w:rFonts w:ascii="Times New Roman" w:hAnsi="Times New Roman" w:cs="Times New Roman"/>
          <w:sz w:val="22"/>
          <w:szCs w:val="22"/>
          <w:lang w:val="en"/>
        </w:rPr>
        <w:tab/>
        <w:t>The basic characteristics of the study subjects were grouped by gender, age, level of education, occupation, financing system and disease history of the study subjects</w:t>
      </w:r>
      <w:r w:rsidR="00D03AF6" w:rsidRPr="001257E7">
        <w:rPr>
          <w:rFonts w:ascii="Times New Roman" w:hAnsi="Times New Roman" w:cs="Times New Roman"/>
          <w:sz w:val="22"/>
          <w:szCs w:val="22"/>
          <w:lang w:val="en"/>
        </w:rPr>
        <w:t>.</w:t>
      </w:r>
      <w:r w:rsidR="001257E7">
        <w:rPr>
          <w:rFonts w:ascii="Times New Roman" w:hAnsi="Times New Roman" w:cs="Times New Roman"/>
          <w:sz w:val="22"/>
          <w:szCs w:val="22"/>
          <w:lang w:val="en"/>
        </w:rPr>
        <w:t xml:space="preserve"> </w:t>
      </w:r>
      <w:r w:rsidR="00D03AF6" w:rsidRPr="001257E7">
        <w:rPr>
          <w:rFonts w:ascii="Times New Roman" w:hAnsi="Times New Roman" w:cs="Times New Roman"/>
          <w:sz w:val="22"/>
          <w:szCs w:val="22"/>
          <w:lang w:val="en"/>
        </w:rPr>
        <w:t xml:space="preserve">Based on research, the number of male subjects (85 subjects) was more than that of female subjects (43 subjects) in the Favipiravir group. Meanwhile, the number of male subjects (43 subjects) was more than that of female subjects (29 subjects) in the Remdesivir group. Based on age criteria, patients with COVID-19 were obtained the most in the range of 51-60 years and at least 31-40 years from favipiravir and Remdesivir groups. This is in accordance with the research conducted in </w:t>
      </w:r>
      <w:proofErr w:type="spellStart"/>
      <w:r w:rsidR="00D03AF6" w:rsidRPr="001257E7">
        <w:rPr>
          <w:rFonts w:ascii="Times New Roman" w:hAnsi="Times New Roman" w:cs="Times New Roman"/>
          <w:sz w:val="22"/>
          <w:szCs w:val="22"/>
          <w:lang w:val="en"/>
        </w:rPr>
        <w:t>Dibali</w:t>
      </w:r>
      <w:proofErr w:type="spellEnd"/>
      <w:r w:rsidR="00D03AF6" w:rsidRPr="001257E7">
        <w:rPr>
          <w:rFonts w:ascii="Times New Roman" w:hAnsi="Times New Roman" w:cs="Times New Roman"/>
          <w:sz w:val="22"/>
          <w:szCs w:val="22"/>
          <w:lang w:val="en"/>
        </w:rPr>
        <w:t>, where the most patients are in the range of 50 years to 70 years.</w:t>
      </w:r>
      <w:r w:rsidRPr="001257E7">
        <w:rPr>
          <w:rFonts w:ascii="Times New Roman" w:hAnsi="Times New Roman" w:cs="Times New Roman"/>
          <w:sz w:val="22"/>
          <w:szCs w:val="22"/>
          <w:lang w:val="en"/>
        </w:rPr>
        <w:t xml:space="preserve"> </w:t>
      </w:r>
      <w:r w:rsidR="007810EE" w:rsidRPr="001257E7">
        <w:rPr>
          <w:rFonts w:ascii="Times New Roman" w:hAnsi="Times New Roman" w:cs="Times New Roman"/>
          <w:sz w:val="22"/>
          <w:szCs w:val="22"/>
          <w:vertAlign w:val="superscript"/>
          <w:lang w:val="en"/>
        </w:rPr>
        <w:t>14</w:t>
      </w:r>
      <w:r w:rsidR="006F0890" w:rsidRPr="001257E7">
        <w:rPr>
          <w:rFonts w:ascii="Times New Roman" w:hAnsi="Times New Roman" w:cs="Times New Roman"/>
          <w:sz w:val="22"/>
          <w:szCs w:val="22"/>
          <w:lang w:val="en"/>
        </w:rPr>
        <w:t xml:space="preserve"> The relationship between work and COVID-19 risk is more widely viewed based </w:t>
      </w:r>
      <w:r w:rsidR="006F0890" w:rsidRPr="001257E7">
        <w:rPr>
          <w:rFonts w:ascii="Times New Roman" w:hAnsi="Times New Roman" w:cs="Times New Roman"/>
          <w:sz w:val="22"/>
          <w:szCs w:val="22"/>
          <w:lang w:val="en"/>
        </w:rPr>
        <w:lastRenderedPageBreak/>
        <w:t>on the likelihood of specific exposure, the degree of exposure, and the risk of</w:t>
      </w:r>
      <w:r w:rsidR="004B609E" w:rsidRPr="001257E7">
        <w:rPr>
          <w:rFonts w:ascii="Times New Roman" w:hAnsi="Times New Roman" w:cs="Times New Roman"/>
          <w:sz w:val="22"/>
          <w:szCs w:val="22"/>
          <w:lang w:val="en"/>
        </w:rPr>
        <w:t xml:space="preserve"> occurrence</w:t>
      </w:r>
      <w:r w:rsidR="006F0890" w:rsidRPr="001257E7">
        <w:rPr>
          <w:rFonts w:ascii="Times New Roman" w:hAnsi="Times New Roman" w:cs="Times New Roman"/>
          <w:sz w:val="22"/>
          <w:szCs w:val="22"/>
          <w:lang w:val="en"/>
        </w:rPr>
        <w:t xml:space="preserve">. Based on the level of education regarding the occurrence of COVID-19, in this study it can be said that the higher the level of education, the better a person is in terms of dealing with the disease. The patient's participation to become a member of the Social Security Organizing Agency (BPJS) is determined by knowledge of information about BPJS, besides that there is also a personal </w:t>
      </w:r>
      <w:r w:rsidR="005E204A" w:rsidRPr="001257E7">
        <w:rPr>
          <w:rFonts w:ascii="Times New Roman" w:hAnsi="Times New Roman" w:cs="Times New Roman"/>
          <w:sz w:val="22"/>
          <w:szCs w:val="22"/>
          <w:lang w:val="en"/>
        </w:rPr>
        <w:softHyphen/>
      </w:r>
      <w:r w:rsidR="005E204A" w:rsidRPr="001257E7">
        <w:rPr>
          <w:rFonts w:ascii="Times New Roman" w:hAnsi="Times New Roman" w:cs="Times New Roman"/>
          <w:i/>
          <w:iCs/>
          <w:sz w:val="22"/>
          <w:szCs w:val="22"/>
          <w:lang w:val="en"/>
        </w:rPr>
        <w:t>reference</w:t>
      </w:r>
      <w:r w:rsidR="001257E7">
        <w:rPr>
          <w:rFonts w:ascii="Times New Roman" w:hAnsi="Times New Roman" w:cs="Times New Roman"/>
          <w:i/>
          <w:iCs/>
          <w:sz w:val="22"/>
          <w:szCs w:val="22"/>
          <w:lang w:val="en"/>
        </w:rPr>
        <w:t xml:space="preserve"> </w:t>
      </w:r>
      <w:r w:rsidRPr="001257E7">
        <w:rPr>
          <w:rFonts w:ascii="Times New Roman" w:hAnsi="Times New Roman" w:cs="Times New Roman"/>
          <w:sz w:val="22"/>
          <w:szCs w:val="22"/>
          <w:lang w:val="en"/>
        </w:rPr>
        <w:t>factor</w:t>
      </w:r>
      <w:r w:rsidR="005E204A" w:rsidRPr="001257E7">
        <w:rPr>
          <w:rFonts w:ascii="Times New Roman" w:hAnsi="Times New Roman" w:cs="Times New Roman"/>
          <w:sz w:val="22"/>
          <w:szCs w:val="22"/>
          <w:lang w:val="en"/>
        </w:rPr>
        <w:t>, namely their own desire or the invitation of others to become BPJS participants.</w:t>
      </w:r>
    </w:p>
    <w:p w14:paraId="4ED0D663" w14:textId="1F517D16" w:rsidR="0003400E" w:rsidRPr="001257E7" w:rsidRDefault="0003400E" w:rsidP="001257E7">
      <w:pPr>
        <w:tabs>
          <w:tab w:val="left" w:pos="709"/>
        </w:tabs>
        <w:jc w:val="both"/>
        <w:rPr>
          <w:rFonts w:ascii="Times New Roman" w:hAnsi="Times New Roman" w:cs="Times New Roman"/>
          <w:sz w:val="22"/>
          <w:szCs w:val="22"/>
          <w:lang w:val="en-US"/>
        </w:rPr>
      </w:pPr>
    </w:p>
    <w:p w14:paraId="67FB248C" w14:textId="77777777" w:rsidR="0003400E" w:rsidRPr="001257E7" w:rsidRDefault="0003400E" w:rsidP="001257E7">
      <w:pPr>
        <w:tabs>
          <w:tab w:val="left" w:pos="709"/>
        </w:tabs>
        <w:jc w:val="both"/>
        <w:rPr>
          <w:rFonts w:ascii="Times New Roman" w:hAnsi="Times New Roman" w:cs="Times New Roman"/>
          <w:sz w:val="22"/>
          <w:szCs w:val="22"/>
          <w:lang w:val="en-US"/>
        </w:rPr>
      </w:pPr>
    </w:p>
    <w:tbl>
      <w:tblPr>
        <w:tblStyle w:val="TabelBiasa3"/>
        <w:tblpPr w:leftFromText="180" w:rightFromText="180" w:vertAnchor="text" w:horzAnchor="margin" w:tblpXSpec="center" w:tblpY="713"/>
        <w:tblW w:w="8910" w:type="dxa"/>
        <w:tblLayout w:type="fixed"/>
        <w:tblLook w:val="04A0" w:firstRow="1" w:lastRow="0" w:firstColumn="1" w:lastColumn="0" w:noHBand="0" w:noVBand="1"/>
      </w:tblPr>
      <w:tblGrid>
        <w:gridCol w:w="1440"/>
        <w:gridCol w:w="912"/>
        <w:gridCol w:w="850"/>
        <w:gridCol w:w="218"/>
        <w:gridCol w:w="1105"/>
        <w:gridCol w:w="6"/>
        <w:gridCol w:w="1139"/>
        <w:gridCol w:w="1229"/>
        <w:gridCol w:w="10"/>
        <w:gridCol w:w="814"/>
        <w:gridCol w:w="10"/>
        <w:gridCol w:w="1177"/>
      </w:tblGrid>
      <w:tr w:rsidR="00B53F90" w:rsidRPr="001257E7" w14:paraId="0DA5C509" w14:textId="77777777" w:rsidTr="00F72CB5">
        <w:trPr>
          <w:cnfStyle w:val="100000000000" w:firstRow="1" w:lastRow="0" w:firstColumn="0" w:lastColumn="0" w:oddVBand="0" w:evenVBand="0" w:oddHBand="0" w:evenHBand="0" w:firstRowFirstColumn="0" w:firstRowLastColumn="0" w:lastRowFirstColumn="0" w:lastRowLastColumn="0"/>
          <w:trHeight w:val="282"/>
        </w:trPr>
        <w:tc>
          <w:tcPr>
            <w:cnfStyle w:val="001000000100" w:firstRow="0" w:lastRow="0" w:firstColumn="1" w:lastColumn="0" w:oddVBand="0" w:evenVBand="0" w:oddHBand="0" w:evenHBand="0" w:firstRowFirstColumn="1" w:firstRowLastColumn="0" w:lastRowFirstColumn="0" w:lastRowLastColumn="0"/>
            <w:tcW w:w="2352" w:type="dxa"/>
            <w:gridSpan w:val="2"/>
            <w:vMerge w:val="restart"/>
          </w:tcPr>
          <w:p w14:paraId="4A69A10F" w14:textId="77777777" w:rsidR="00B53F90" w:rsidRPr="001257E7" w:rsidRDefault="00B53F90" w:rsidP="001257E7">
            <w:pPr>
              <w:tabs>
                <w:tab w:val="left" w:pos="851"/>
              </w:tabs>
              <w:rPr>
                <w:rFonts w:ascii="Times New Roman" w:hAnsi="Times New Roman" w:cs="Times New Roman"/>
                <w:color w:val="000000"/>
                <w:sz w:val="20"/>
                <w:szCs w:val="20"/>
              </w:rPr>
            </w:pPr>
            <w:r w:rsidRPr="001257E7">
              <w:rPr>
                <w:rFonts w:ascii="Times New Roman" w:hAnsi="Times New Roman" w:cs="Times New Roman"/>
                <w:sz w:val="20"/>
                <w:szCs w:val="20"/>
                <w:lang w:val="en"/>
              </w:rPr>
              <w:t>Characteristic</w:t>
            </w:r>
          </w:p>
        </w:tc>
        <w:tc>
          <w:tcPr>
            <w:tcW w:w="4547" w:type="dxa"/>
            <w:gridSpan w:val="6"/>
          </w:tcPr>
          <w:p w14:paraId="5154A6B2" w14:textId="77777777" w:rsidR="00B53F90" w:rsidRPr="001257E7" w:rsidRDefault="00B53F90" w:rsidP="001257E7">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Group</w:t>
            </w:r>
          </w:p>
        </w:tc>
        <w:tc>
          <w:tcPr>
            <w:tcW w:w="2011" w:type="dxa"/>
            <w:gridSpan w:val="4"/>
          </w:tcPr>
          <w:p w14:paraId="378BEA3C" w14:textId="77777777" w:rsidR="00B53F90" w:rsidRPr="001257E7" w:rsidRDefault="00B53F90" w:rsidP="001257E7">
            <w:pPr>
              <w:tabs>
                <w:tab w:val="left" w:pos="851"/>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sz w:val="20"/>
                <w:szCs w:val="20"/>
                <w:lang w:val="en"/>
              </w:rPr>
              <w:t>Group Difference Test</w:t>
            </w:r>
          </w:p>
        </w:tc>
      </w:tr>
      <w:tr w:rsidR="00B53F90" w:rsidRPr="001257E7" w14:paraId="003E4EB1" w14:textId="77777777" w:rsidTr="00F72CB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352" w:type="dxa"/>
            <w:gridSpan w:val="2"/>
            <w:vMerge/>
          </w:tcPr>
          <w:p w14:paraId="2B849774" w14:textId="77777777" w:rsidR="00B53F90" w:rsidRPr="001257E7" w:rsidRDefault="00B53F90" w:rsidP="001257E7">
            <w:pPr>
              <w:tabs>
                <w:tab w:val="left" w:pos="851"/>
              </w:tabs>
              <w:rPr>
                <w:rFonts w:ascii="Times New Roman" w:hAnsi="Times New Roman" w:cs="Times New Roman"/>
                <w:color w:val="000000"/>
                <w:sz w:val="20"/>
                <w:szCs w:val="20"/>
              </w:rPr>
            </w:pPr>
          </w:p>
        </w:tc>
        <w:tc>
          <w:tcPr>
            <w:tcW w:w="2173" w:type="dxa"/>
            <w:gridSpan w:val="3"/>
          </w:tcPr>
          <w:p w14:paraId="18B304ED"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Favipiravir (</w:t>
            </w:r>
            <w:proofErr w:type="gramStart"/>
            <w:r w:rsidRPr="001257E7">
              <w:rPr>
                <w:rFonts w:ascii="Times New Roman" w:hAnsi="Times New Roman" w:cs="Times New Roman"/>
                <w:b/>
                <w:bCs/>
                <w:color w:val="000000"/>
                <w:sz w:val="20"/>
                <w:szCs w:val="20"/>
                <w:lang w:val="en"/>
              </w:rPr>
              <w:t>n :</w:t>
            </w:r>
            <w:proofErr w:type="gramEnd"/>
            <w:r w:rsidRPr="001257E7">
              <w:rPr>
                <w:rFonts w:ascii="Times New Roman" w:hAnsi="Times New Roman" w:cs="Times New Roman"/>
                <w:b/>
                <w:bCs/>
                <w:color w:val="000000"/>
                <w:sz w:val="20"/>
                <w:szCs w:val="20"/>
                <w:lang w:val="en"/>
              </w:rPr>
              <w:t xml:space="preserve"> 139)</w:t>
            </w:r>
          </w:p>
        </w:tc>
        <w:tc>
          <w:tcPr>
            <w:tcW w:w="2374" w:type="dxa"/>
            <w:gridSpan w:val="3"/>
          </w:tcPr>
          <w:p w14:paraId="26D0AC06"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1257E7">
              <w:rPr>
                <w:rFonts w:ascii="Times New Roman" w:hAnsi="Times New Roman" w:cs="Times New Roman"/>
                <w:b/>
                <w:bCs/>
                <w:sz w:val="20"/>
                <w:szCs w:val="20"/>
                <w:lang w:val="en"/>
              </w:rPr>
              <w:t>Remdesivir (</w:t>
            </w:r>
            <w:proofErr w:type="gramStart"/>
            <w:r w:rsidRPr="001257E7">
              <w:rPr>
                <w:rFonts w:ascii="Times New Roman" w:hAnsi="Times New Roman" w:cs="Times New Roman"/>
                <w:b/>
                <w:bCs/>
                <w:sz w:val="20"/>
                <w:szCs w:val="20"/>
                <w:lang w:val="en"/>
              </w:rPr>
              <w:t>n :</w:t>
            </w:r>
            <w:proofErr w:type="gramEnd"/>
            <w:r w:rsidRPr="001257E7">
              <w:rPr>
                <w:rFonts w:ascii="Times New Roman" w:hAnsi="Times New Roman" w:cs="Times New Roman"/>
                <w:b/>
                <w:bCs/>
                <w:sz w:val="20"/>
                <w:szCs w:val="20"/>
                <w:lang w:val="en"/>
              </w:rPr>
              <w:t xml:space="preserve"> 72)</w:t>
            </w:r>
          </w:p>
        </w:tc>
        <w:tc>
          <w:tcPr>
            <w:tcW w:w="824" w:type="dxa"/>
            <w:gridSpan w:val="2"/>
          </w:tcPr>
          <w:p w14:paraId="2E64374D"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1257E7">
              <w:rPr>
                <w:rFonts w:ascii="Times New Roman" w:hAnsi="Times New Roman" w:cs="Times New Roman"/>
                <w:b/>
                <w:bCs/>
                <w:sz w:val="20"/>
                <w:szCs w:val="20"/>
                <w:lang w:val="en"/>
              </w:rPr>
              <w:t>P-value</w:t>
            </w:r>
          </w:p>
        </w:tc>
        <w:tc>
          <w:tcPr>
            <w:tcW w:w="1187" w:type="dxa"/>
            <w:gridSpan w:val="2"/>
          </w:tcPr>
          <w:p w14:paraId="55AA45A3"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Conclusion</w:t>
            </w:r>
          </w:p>
        </w:tc>
      </w:tr>
      <w:tr w:rsidR="00B53F90" w:rsidRPr="001257E7" w14:paraId="15C9EE0D" w14:textId="77777777" w:rsidTr="00F72CB5">
        <w:trPr>
          <w:trHeight w:val="76"/>
        </w:trPr>
        <w:tc>
          <w:tcPr>
            <w:cnfStyle w:val="001000000000" w:firstRow="0" w:lastRow="0" w:firstColumn="1" w:lastColumn="0" w:oddVBand="0" w:evenVBand="0" w:oddHBand="0" w:evenHBand="0" w:firstRowFirstColumn="0" w:firstRowLastColumn="0" w:lastRowFirstColumn="0" w:lastRowLastColumn="0"/>
            <w:tcW w:w="2352" w:type="dxa"/>
            <w:gridSpan w:val="2"/>
            <w:vMerge/>
          </w:tcPr>
          <w:p w14:paraId="715D92EC" w14:textId="77777777" w:rsidR="00B53F90" w:rsidRPr="001257E7" w:rsidRDefault="00B53F90" w:rsidP="001257E7">
            <w:pPr>
              <w:tabs>
                <w:tab w:val="left" w:pos="851"/>
              </w:tabs>
              <w:rPr>
                <w:rFonts w:ascii="Times New Roman" w:hAnsi="Times New Roman" w:cs="Times New Roman"/>
                <w:color w:val="000000"/>
                <w:sz w:val="20"/>
                <w:szCs w:val="20"/>
              </w:rPr>
            </w:pPr>
          </w:p>
        </w:tc>
        <w:tc>
          <w:tcPr>
            <w:tcW w:w="1068" w:type="dxa"/>
            <w:gridSpan w:val="2"/>
          </w:tcPr>
          <w:p w14:paraId="2DDA5189"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Frequency</w:t>
            </w:r>
          </w:p>
        </w:tc>
        <w:tc>
          <w:tcPr>
            <w:tcW w:w="1111" w:type="dxa"/>
            <w:gridSpan w:val="2"/>
          </w:tcPr>
          <w:p w14:paraId="2B76C8EA"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sz w:val="20"/>
                <w:szCs w:val="20"/>
                <w:lang w:val="en"/>
              </w:rPr>
              <w:t>Percentage</w:t>
            </w:r>
          </w:p>
          <w:p w14:paraId="0706922D"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sz w:val="20"/>
                <w:szCs w:val="20"/>
                <w:lang w:val="en"/>
              </w:rPr>
              <w:t>(%)</w:t>
            </w:r>
          </w:p>
        </w:tc>
        <w:tc>
          <w:tcPr>
            <w:tcW w:w="1139" w:type="dxa"/>
          </w:tcPr>
          <w:p w14:paraId="222281AC"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Frequency</w:t>
            </w:r>
          </w:p>
        </w:tc>
        <w:tc>
          <w:tcPr>
            <w:tcW w:w="1239" w:type="dxa"/>
            <w:gridSpan w:val="2"/>
          </w:tcPr>
          <w:p w14:paraId="20D5553D"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sz w:val="20"/>
                <w:szCs w:val="20"/>
                <w:lang w:val="en"/>
              </w:rPr>
              <w:t>Percentage</w:t>
            </w:r>
          </w:p>
          <w:p w14:paraId="3333D004"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sz w:val="20"/>
                <w:szCs w:val="20"/>
                <w:lang w:val="en"/>
              </w:rPr>
              <w:t>(%)</w:t>
            </w:r>
          </w:p>
        </w:tc>
        <w:tc>
          <w:tcPr>
            <w:tcW w:w="824" w:type="dxa"/>
            <w:gridSpan w:val="2"/>
          </w:tcPr>
          <w:p w14:paraId="65BFEE89"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7" w:type="dxa"/>
          </w:tcPr>
          <w:p w14:paraId="0F2EE9BF"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B53F90" w:rsidRPr="001257E7" w14:paraId="1E22C1E5" w14:textId="77777777" w:rsidTr="00F72CB5">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440" w:type="dxa"/>
            <w:vMerge w:val="restart"/>
          </w:tcPr>
          <w:p w14:paraId="7EBE1BE5" w14:textId="77777777" w:rsidR="00B53F90" w:rsidRPr="001257E7" w:rsidRDefault="00B53F90" w:rsidP="001257E7">
            <w:pPr>
              <w:tabs>
                <w:tab w:val="left" w:pos="851"/>
              </w:tabs>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Gender</w:t>
            </w:r>
          </w:p>
        </w:tc>
        <w:tc>
          <w:tcPr>
            <w:tcW w:w="912" w:type="dxa"/>
          </w:tcPr>
          <w:p w14:paraId="5E4122B7"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Man</w:t>
            </w:r>
          </w:p>
        </w:tc>
        <w:tc>
          <w:tcPr>
            <w:tcW w:w="1068" w:type="dxa"/>
            <w:gridSpan w:val="2"/>
          </w:tcPr>
          <w:p w14:paraId="03DDB082"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85</w:t>
            </w:r>
          </w:p>
        </w:tc>
        <w:tc>
          <w:tcPr>
            <w:tcW w:w="1111" w:type="dxa"/>
            <w:gridSpan w:val="2"/>
          </w:tcPr>
          <w:p w14:paraId="6AC91F86"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40,3%</w:t>
            </w:r>
          </w:p>
        </w:tc>
        <w:tc>
          <w:tcPr>
            <w:tcW w:w="1139" w:type="dxa"/>
          </w:tcPr>
          <w:p w14:paraId="40CB4FA4"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43</w:t>
            </w:r>
          </w:p>
        </w:tc>
        <w:tc>
          <w:tcPr>
            <w:tcW w:w="1239" w:type="dxa"/>
            <w:gridSpan w:val="2"/>
          </w:tcPr>
          <w:p w14:paraId="52BB1913"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20,4%</w:t>
            </w:r>
          </w:p>
        </w:tc>
        <w:tc>
          <w:tcPr>
            <w:tcW w:w="824" w:type="dxa"/>
            <w:gridSpan w:val="2"/>
            <w:vMerge w:val="restart"/>
          </w:tcPr>
          <w:p w14:paraId="6EBDC737"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sz w:val="20"/>
                <w:szCs w:val="20"/>
                <w:lang w:val="en"/>
              </w:rPr>
              <w:t>0,840</w:t>
            </w:r>
          </w:p>
        </w:tc>
        <w:tc>
          <w:tcPr>
            <w:tcW w:w="1177" w:type="dxa"/>
            <w:vMerge w:val="restart"/>
          </w:tcPr>
          <w:p w14:paraId="0190769B"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no difference</w:t>
            </w:r>
          </w:p>
        </w:tc>
      </w:tr>
      <w:tr w:rsidR="00B53F90" w:rsidRPr="001257E7" w14:paraId="57DFB8BB" w14:textId="77777777" w:rsidTr="00F72CB5">
        <w:trPr>
          <w:trHeight w:val="76"/>
        </w:trPr>
        <w:tc>
          <w:tcPr>
            <w:cnfStyle w:val="001000000000" w:firstRow="0" w:lastRow="0" w:firstColumn="1" w:lastColumn="0" w:oddVBand="0" w:evenVBand="0" w:oddHBand="0" w:evenHBand="0" w:firstRowFirstColumn="0" w:firstRowLastColumn="0" w:lastRowFirstColumn="0" w:lastRowLastColumn="0"/>
            <w:tcW w:w="1440" w:type="dxa"/>
            <w:vMerge/>
          </w:tcPr>
          <w:p w14:paraId="367540C4" w14:textId="77777777" w:rsidR="00B53F90" w:rsidRPr="001257E7" w:rsidRDefault="00B53F90" w:rsidP="001257E7">
            <w:pPr>
              <w:tabs>
                <w:tab w:val="left" w:pos="851"/>
              </w:tabs>
              <w:rPr>
                <w:rFonts w:ascii="Times New Roman" w:hAnsi="Times New Roman" w:cs="Times New Roman"/>
                <w:sz w:val="20"/>
                <w:szCs w:val="20"/>
                <w:lang w:val="en-US"/>
              </w:rPr>
            </w:pPr>
          </w:p>
        </w:tc>
        <w:tc>
          <w:tcPr>
            <w:tcW w:w="912" w:type="dxa"/>
          </w:tcPr>
          <w:p w14:paraId="4B4264A0"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Woman</w:t>
            </w:r>
          </w:p>
        </w:tc>
        <w:tc>
          <w:tcPr>
            <w:tcW w:w="1068" w:type="dxa"/>
            <w:gridSpan w:val="2"/>
          </w:tcPr>
          <w:p w14:paraId="4D1B1FF2"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54</w:t>
            </w:r>
          </w:p>
        </w:tc>
        <w:tc>
          <w:tcPr>
            <w:tcW w:w="1111" w:type="dxa"/>
            <w:gridSpan w:val="2"/>
          </w:tcPr>
          <w:p w14:paraId="24A56E3E"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25,6%</w:t>
            </w:r>
          </w:p>
        </w:tc>
        <w:tc>
          <w:tcPr>
            <w:tcW w:w="1139" w:type="dxa"/>
          </w:tcPr>
          <w:p w14:paraId="79830681"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29</w:t>
            </w:r>
          </w:p>
        </w:tc>
        <w:tc>
          <w:tcPr>
            <w:tcW w:w="1239" w:type="dxa"/>
            <w:gridSpan w:val="2"/>
          </w:tcPr>
          <w:p w14:paraId="329D75BB"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13,7%</w:t>
            </w:r>
          </w:p>
        </w:tc>
        <w:tc>
          <w:tcPr>
            <w:tcW w:w="824" w:type="dxa"/>
            <w:gridSpan w:val="2"/>
            <w:vMerge/>
          </w:tcPr>
          <w:p w14:paraId="5DBA4BF1"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7" w:type="dxa"/>
            <w:vMerge/>
          </w:tcPr>
          <w:p w14:paraId="4F00418E"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B53F90" w:rsidRPr="001257E7" w14:paraId="163E2B24" w14:textId="77777777" w:rsidTr="00F72CB5">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440" w:type="dxa"/>
            <w:vMerge w:val="restart"/>
          </w:tcPr>
          <w:p w14:paraId="3CBEB719" w14:textId="77777777" w:rsidR="00B53F90" w:rsidRPr="001257E7" w:rsidRDefault="00B53F90" w:rsidP="001257E7">
            <w:pPr>
              <w:tabs>
                <w:tab w:val="left" w:pos="851"/>
              </w:tabs>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Age (years)</w:t>
            </w:r>
          </w:p>
        </w:tc>
        <w:tc>
          <w:tcPr>
            <w:tcW w:w="912" w:type="dxa"/>
          </w:tcPr>
          <w:p w14:paraId="7B8319C3"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18-30</w:t>
            </w:r>
          </w:p>
        </w:tc>
        <w:tc>
          <w:tcPr>
            <w:tcW w:w="850" w:type="dxa"/>
          </w:tcPr>
          <w:p w14:paraId="6F804C51"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19</w:t>
            </w:r>
          </w:p>
        </w:tc>
        <w:tc>
          <w:tcPr>
            <w:tcW w:w="1323" w:type="dxa"/>
            <w:gridSpan w:val="2"/>
          </w:tcPr>
          <w:p w14:paraId="27FCB0A5"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9,0%</w:t>
            </w:r>
          </w:p>
        </w:tc>
        <w:tc>
          <w:tcPr>
            <w:tcW w:w="1145" w:type="dxa"/>
            <w:gridSpan w:val="2"/>
          </w:tcPr>
          <w:p w14:paraId="24116F1A"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7</w:t>
            </w:r>
          </w:p>
        </w:tc>
        <w:tc>
          <w:tcPr>
            <w:tcW w:w="1239" w:type="dxa"/>
            <w:gridSpan w:val="2"/>
          </w:tcPr>
          <w:p w14:paraId="4BE00506"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3,3%</w:t>
            </w:r>
          </w:p>
        </w:tc>
        <w:tc>
          <w:tcPr>
            <w:tcW w:w="824" w:type="dxa"/>
            <w:gridSpan w:val="2"/>
          </w:tcPr>
          <w:p w14:paraId="6C2D8314"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sz w:val="20"/>
                <w:szCs w:val="20"/>
                <w:lang w:val="en"/>
              </w:rPr>
              <w:t>0.869</w:t>
            </w:r>
          </w:p>
        </w:tc>
        <w:tc>
          <w:tcPr>
            <w:tcW w:w="1177" w:type="dxa"/>
          </w:tcPr>
          <w:p w14:paraId="290A968B"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no difference</w:t>
            </w:r>
          </w:p>
        </w:tc>
      </w:tr>
      <w:tr w:rsidR="00B53F90" w:rsidRPr="001257E7" w14:paraId="05424311" w14:textId="77777777" w:rsidTr="00F72CB5">
        <w:trPr>
          <w:trHeight w:val="76"/>
        </w:trPr>
        <w:tc>
          <w:tcPr>
            <w:cnfStyle w:val="001000000000" w:firstRow="0" w:lastRow="0" w:firstColumn="1" w:lastColumn="0" w:oddVBand="0" w:evenVBand="0" w:oddHBand="0" w:evenHBand="0" w:firstRowFirstColumn="0" w:firstRowLastColumn="0" w:lastRowFirstColumn="0" w:lastRowLastColumn="0"/>
            <w:tcW w:w="1440" w:type="dxa"/>
            <w:vMerge/>
          </w:tcPr>
          <w:p w14:paraId="6A09B2FB" w14:textId="77777777" w:rsidR="00B53F90" w:rsidRPr="001257E7" w:rsidRDefault="00B53F90" w:rsidP="001257E7">
            <w:pPr>
              <w:tabs>
                <w:tab w:val="left" w:pos="851"/>
              </w:tabs>
              <w:rPr>
                <w:rFonts w:ascii="Times New Roman" w:hAnsi="Times New Roman" w:cs="Times New Roman"/>
                <w:sz w:val="20"/>
                <w:szCs w:val="20"/>
                <w:lang w:val="en-US"/>
              </w:rPr>
            </w:pPr>
          </w:p>
        </w:tc>
        <w:tc>
          <w:tcPr>
            <w:tcW w:w="912" w:type="dxa"/>
          </w:tcPr>
          <w:p w14:paraId="11243C26"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31-40</w:t>
            </w:r>
          </w:p>
        </w:tc>
        <w:tc>
          <w:tcPr>
            <w:tcW w:w="1068" w:type="dxa"/>
            <w:gridSpan w:val="2"/>
          </w:tcPr>
          <w:p w14:paraId="36244609"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16</w:t>
            </w:r>
          </w:p>
        </w:tc>
        <w:tc>
          <w:tcPr>
            <w:tcW w:w="1111" w:type="dxa"/>
            <w:gridSpan w:val="2"/>
          </w:tcPr>
          <w:p w14:paraId="289FA502"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7,6%</w:t>
            </w:r>
          </w:p>
        </w:tc>
        <w:tc>
          <w:tcPr>
            <w:tcW w:w="1139" w:type="dxa"/>
          </w:tcPr>
          <w:p w14:paraId="0F89FA1F"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9</w:t>
            </w:r>
          </w:p>
        </w:tc>
        <w:tc>
          <w:tcPr>
            <w:tcW w:w="1239" w:type="dxa"/>
            <w:gridSpan w:val="2"/>
          </w:tcPr>
          <w:p w14:paraId="3B4D3A2C"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4,3%</w:t>
            </w:r>
          </w:p>
        </w:tc>
        <w:tc>
          <w:tcPr>
            <w:tcW w:w="824" w:type="dxa"/>
            <w:gridSpan w:val="2"/>
            <w:vMerge w:val="restart"/>
          </w:tcPr>
          <w:p w14:paraId="1CBD8BB1"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7" w:type="dxa"/>
            <w:vMerge w:val="restart"/>
          </w:tcPr>
          <w:p w14:paraId="2EA4D9BF"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B53F90" w:rsidRPr="001257E7" w14:paraId="3100F450" w14:textId="77777777" w:rsidTr="00F72CB5">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440" w:type="dxa"/>
            <w:vMerge/>
          </w:tcPr>
          <w:p w14:paraId="5A138C03" w14:textId="77777777" w:rsidR="00B53F90" w:rsidRPr="001257E7" w:rsidRDefault="00B53F90" w:rsidP="001257E7">
            <w:pPr>
              <w:tabs>
                <w:tab w:val="left" w:pos="851"/>
              </w:tabs>
              <w:rPr>
                <w:rFonts w:ascii="Times New Roman" w:hAnsi="Times New Roman" w:cs="Times New Roman"/>
                <w:sz w:val="20"/>
                <w:szCs w:val="20"/>
                <w:lang w:val="en-US"/>
              </w:rPr>
            </w:pPr>
          </w:p>
        </w:tc>
        <w:tc>
          <w:tcPr>
            <w:tcW w:w="912" w:type="dxa"/>
          </w:tcPr>
          <w:p w14:paraId="3AEF28B4"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41-50</w:t>
            </w:r>
          </w:p>
        </w:tc>
        <w:tc>
          <w:tcPr>
            <w:tcW w:w="1068" w:type="dxa"/>
            <w:gridSpan w:val="2"/>
          </w:tcPr>
          <w:p w14:paraId="03F96486"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27</w:t>
            </w:r>
          </w:p>
        </w:tc>
        <w:tc>
          <w:tcPr>
            <w:tcW w:w="1111" w:type="dxa"/>
            <w:gridSpan w:val="2"/>
          </w:tcPr>
          <w:p w14:paraId="11922812"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12,8%</w:t>
            </w:r>
          </w:p>
        </w:tc>
        <w:tc>
          <w:tcPr>
            <w:tcW w:w="1139" w:type="dxa"/>
          </w:tcPr>
          <w:p w14:paraId="2F1807A4"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15</w:t>
            </w:r>
          </w:p>
        </w:tc>
        <w:tc>
          <w:tcPr>
            <w:tcW w:w="1239" w:type="dxa"/>
            <w:gridSpan w:val="2"/>
          </w:tcPr>
          <w:p w14:paraId="47E9F4E5"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7,1%</w:t>
            </w:r>
          </w:p>
        </w:tc>
        <w:tc>
          <w:tcPr>
            <w:tcW w:w="824" w:type="dxa"/>
            <w:gridSpan w:val="2"/>
            <w:vMerge/>
          </w:tcPr>
          <w:p w14:paraId="7564D89E"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177" w:type="dxa"/>
            <w:vMerge/>
          </w:tcPr>
          <w:p w14:paraId="38D72706"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B53F90" w:rsidRPr="001257E7" w14:paraId="6DD082F5" w14:textId="77777777" w:rsidTr="00F72CB5">
        <w:trPr>
          <w:trHeight w:val="76"/>
        </w:trPr>
        <w:tc>
          <w:tcPr>
            <w:cnfStyle w:val="001000000000" w:firstRow="0" w:lastRow="0" w:firstColumn="1" w:lastColumn="0" w:oddVBand="0" w:evenVBand="0" w:oddHBand="0" w:evenHBand="0" w:firstRowFirstColumn="0" w:firstRowLastColumn="0" w:lastRowFirstColumn="0" w:lastRowLastColumn="0"/>
            <w:tcW w:w="1440" w:type="dxa"/>
            <w:vMerge/>
          </w:tcPr>
          <w:p w14:paraId="0CA96075" w14:textId="77777777" w:rsidR="00B53F90" w:rsidRPr="001257E7" w:rsidRDefault="00B53F90" w:rsidP="001257E7">
            <w:pPr>
              <w:tabs>
                <w:tab w:val="left" w:pos="851"/>
              </w:tabs>
              <w:rPr>
                <w:rFonts w:ascii="Times New Roman" w:hAnsi="Times New Roman" w:cs="Times New Roman"/>
                <w:sz w:val="20"/>
                <w:szCs w:val="20"/>
                <w:lang w:val="en-US"/>
              </w:rPr>
            </w:pPr>
          </w:p>
        </w:tc>
        <w:tc>
          <w:tcPr>
            <w:tcW w:w="912" w:type="dxa"/>
          </w:tcPr>
          <w:p w14:paraId="58E60F3E"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51-60</w:t>
            </w:r>
          </w:p>
        </w:tc>
        <w:tc>
          <w:tcPr>
            <w:tcW w:w="1068" w:type="dxa"/>
            <w:gridSpan w:val="2"/>
          </w:tcPr>
          <w:p w14:paraId="0CE393D8"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34</w:t>
            </w:r>
          </w:p>
        </w:tc>
        <w:tc>
          <w:tcPr>
            <w:tcW w:w="1111" w:type="dxa"/>
            <w:gridSpan w:val="2"/>
          </w:tcPr>
          <w:p w14:paraId="11AB828A"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16,1%</w:t>
            </w:r>
          </w:p>
        </w:tc>
        <w:tc>
          <w:tcPr>
            <w:tcW w:w="1139" w:type="dxa"/>
          </w:tcPr>
          <w:p w14:paraId="7BBB9D07"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25</w:t>
            </w:r>
          </w:p>
        </w:tc>
        <w:tc>
          <w:tcPr>
            <w:tcW w:w="1239" w:type="dxa"/>
            <w:gridSpan w:val="2"/>
          </w:tcPr>
          <w:p w14:paraId="67841EE2"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11,8%</w:t>
            </w:r>
          </w:p>
        </w:tc>
        <w:tc>
          <w:tcPr>
            <w:tcW w:w="824" w:type="dxa"/>
            <w:gridSpan w:val="2"/>
            <w:vMerge/>
          </w:tcPr>
          <w:p w14:paraId="52A1C25B"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7" w:type="dxa"/>
            <w:vMerge/>
          </w:tcPr>
          <w:p w14:paraId="22A9F95F"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B53F90" w:rsidRPr="001257E7" w14:paraId="04899785" w14:textId="77777777" w:rsidTr="00F72CB5">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440" w:type="dxa"/>
            <w:vMerge/>
          </w:tcPr>
          <w:p w14:paraId="733CDBD9" w14:textId="77777777" w:rsidR="00B53F90" w:rsidRPr="001257E7" w:rsidRDefault="00B53F90" w:rsidP="001257E7">
            <w:pPr>
              <w:tabs>
                <w:tab w:val="left" w:pos="851"/>
              </w:tabs>
              <w:rPr>
                <w:rFonts w:ascii="Times New Roman" w:hAnsi="Times New Roman" w:cs="Times New Roman"/>
                <w:sz w:val="20"/>
                <w:szCs w:val="20"/>
                <w:lang w:val="en-US"/>
              </w:rPr>
            </w:pPr>
          </w:p>
        </w:tc>
        <w:tc>
          <w:tcPr>
            <w:tcW w:w="912" w:type="dxa"/>
          </w:tcPr>
          <w:p w14:paraId="00CB14F0"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61-70</w:t>
            </w:r>
          </w:p>
        </w:tc>
        <w:tc>
          <w:tcPr>
            <w:tcW w:w="1068" w:type="dxa"/>
            <w:gridSpan w:val="2"/>
          </w:tcPr>
          <w:p w14:paraId="09EEED78"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42</w:t>
            </w:r>
          </w:p>
        </w:tc>
        <w:tc>
          <w:tcPr>
            <w:tcW w:w="1111" w:type="dxa"/>
            <w:gridSpan w:val="2"/>
          </w:tcPr>
          <w:p w14:paraId="2E18C380"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19,9%</w:t>
            </w:r>
          </w:p>
        </w:tc>
        <w:tc>
          <w:tcPr>
            <w:tcW w:w="1139" w:type="dxa"/>
          </w:tcPr>
          <w:p w14:paraId="0710DF9B"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16</w:t>
            </w:r>
          </w:p>
        </w:tc>
        <w:tc>
          <w:tcPr>
            <w:tcW w:w="1239" w:type="dxa"/>
            <w:gridSpan w:val="2"/>
          </w:tcPr>
          <w:p w14:paraId="2D5EEDD3"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7,6%</w:t>
            </w:r>
          </w:p>
        </w:tc>
        <w:tc>
          <w:tcPr>
            <w:tcW w:w="824" w:type="dxa"/>
            <w:gridSpan w:val="2"/>
            <w:vMerge/>
          </w:tcPr>
          <w:p w14:paraId="2DD695CD"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177" w:type="dxa"/>
            <w:vMerge/>
          </w:tcPr>
          <w:p w14:paraId="1C3DA903"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B53F90" w:rsidRPr="001257E7" w14:paraId="53B5AD40" w14:textId="77777777" w:rsidTr="00F72CB5">
        <w:trPr>
          <w:trHeight w:val="76"/>
        </w:trPr>
        <w:tc>
          <w:tcPr>
            <w:cnfStyle w:val="001000000000" w:firstRow="0" w:lastRow="0" w:firstColumn="1" w:lastColumn="0" w:oddVBand="0" w:evenVBand="0" w:oddHBand="0" w:evenHBand="0" w:firstRowFirstColumn="0" w:firstRowLastColumn="0" w:lastRowFirstColumn="0" w:lastRowLastColumn="0"/>
            <w:tcW w:w="1440" w:type="dxa"/>
            <w:vMerge w:val="restart"/>
          </w:tcPr>
          <w:p w14:paraId="2D8686B9" w14:textId="77777777" w:rsidR="00B53F90" w:rsidRPr="001257E7" w:rsidRDefault="00B53F90" w:rsidP="001257E7">
            <w:pPr>
              <w:tabs>
                <w:tab w:val="left" w:pos="851"/>
              </w:tabs>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Education Level</w:t>
            </w:r>
          </w:p>
        </w:tc>
        <w:tc>
          <w:tcPr>
            <w:tcW w:w="912" w:type="dxa"/>
          </w:tcPr>
          <w:p w14:paraId="1CEB2849"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 xml:space="preserve">Basis </w:t>
            </w:r>
          </w:p>
        </w:tc>
        <w:tc>
          <w:tcPr>
            <w:tcW w:w="1068" w:type="dxa"/>
            <w:gridSpan w:val="2"/>
          </w:tcPr>
          <w:p w14:paraId="047535C7"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w:t>
            </w:r>
          </w:p>
        </w:tc>
        <w:tc>
          <w:tcPr>
            <w:tcW w:w="1111" w:type="dxa"/>
            <w:gridSpan w:val="2"/>
          </w:tcPr>
          <w:p w14:paraId="1F9CC66F"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0,00%</w:t>
            </w:r>
          </w:p>
        </w:tc>
        <w:tc>
          <w:tcPr>
            <w:tcW w:w="1139" w:type="dxa"/>
          </w:tcPr>
          <w:p w14:paraId="5C7555D2"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w:t>
            </w:r>
          </w:p>
        </w:tc>
        <w:tc>
          <w:tcPr>
            <w:tcW w:w="1239" w:type="dxa"/>
            <w:gridSpan w:val="2"/>
          </w:tcPr>
          <w:p w14:paraId="1C6A320B"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0,00%</w:t>
            </w:r>
          </w:p>
        </w:tc>
        <w:tc>
          <w:tcPr>
            <w:tcW w:w="824" w:type="dxa"/>
            <w:gridSpan w:val="2"/>
            <w:vMerge w:val="restart"/>
          </w:tcPr>
          <w:p w14:paraId="310E9C93"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sz w:val="20"/>
                <w:szCs w:val="20"/>
                <w:lang w:val="en"/>
              </w:rPr>
              <w:t>0,747</w:t>
            </w:r>
          </w:p>
        </w:tc>
        <w:tc>
          <w:tcPr>
            <w:tcW w:w="1177" w:type="dxa"/>
            <w:vMerge w:val="restart"/>
          </w:tcPr>
          <w:p w14:paraId="18997F4F"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no difference</w:t>
            </w:r>
          </w:p>
        </w:tc>
      </w:tr>
      <w:tr w:rsidR="00B53F90" w:rsidRPr="001257E7" w14:paraId="5E5AE895" w14:textId="77777777" w:rsidTr="00F72CB5">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440" w:type="dxa"/>
            <w:vMerge/>
          </w:tcPr>
          <w:p w14:paraId="7BC448E3" w14:textId="77777777" w:rsidR="00B53F90" w:rsidRPr="001257E7" w:rsidRDefault="00B53F90" w:rsidP="001257E7">
            <w:pPr>
              <w:tabs>
                <w:tab w:val="left" w:pos="851"/>
              </w:tabs>
              <w:rPr>
                <w:rFonts w:ascii="Times New Roman" w:hAnsi="Times New Roman" w:cs="Times New Roman"/>
                <w:sz w:val="20"/>
                <w:szCs w:val="20"/>
                <w:lang w:val="en-US"/>
              </w:rPr>
            </w:pPr>
          </w:p>
        </w:tc>
        <w:tc>
          <w:tcPr>
            <w:tcW w:w="912" w:type="dxa"/>
          </w:tcPr>
          <w:p w14:paraId="342D2819"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Intermediate</w:t>
            </w:r>
          </w:p>
        </w:tc>
        <w:tc>
          <w:tcPr>
            <w:tcW w:w="1068" w:type="dxa"/>
            <w:gridSpan w:val="2"/>
          </w:tcPr>
          <w:p w14:paraId="436815D5"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w:t>
            </w:r>
          </w:p>
        </w:tc>
        <w:tc>
          <w:tcPr>
            <w:tcW w:w="1111" w:type="dxa"/>
            <w:gridSpan w:val="2"/>
          </w:tcPr>
          <w:p w14:paraId="0B1A628D"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0,00%</w:t>
            </w:r>
          </w:p>
        </w:tc>
        <w:tc>
          <w:tcPr>
            <w:tcW w:w="1139" w:type="dxa"/>
          </w:tcPr>
          <w:p w14:paraId="0E436A5B"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w:t>
            </w:r>
          </w:p>
        </w:tc>
        <w:tc>
          <w:tcPr>
            <w:tcW w:w="1239" w:type="dxa"/>
            <w:gridSpan w:val="2"/>
          </w:tcPr>
          <w:p w14:paraId="4B53E233"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0,00%</w:t>
            </w:r>
          </w:p>
        </w:tc>
        <w:tc>
          <w:tcPr>
            <w:tcW w:w="824" w:type="dxa"/>
            <w:gridSpan w:val="2"/>
            <w:vMerge/>
          </w:tcPr>
          <w:p w14:paraId="6C19A0C2"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177" w:type="dxa"/>
            <w:vMerge/>
          </w:tcPr>
          <w:p w14:paraId="2E391156"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B53F90" w:rsidRPr="001257E7" w14:paraId="40987F92" w14:textId="77777777" w:rsidTr="00F72CB5">
        <w:trPr>
          <w:trHeight w:val="76"/>
        </w:trPr>
        <w:tc>
          <w:tcPr>
            <w:cnfStyle w:val="001000000000" w:firstRow="0" w:lastRow="0" w:firstColumn="1" w:lastColumn="0" w:oddVBand="0" w:evenVBand="0" w:oddHBand="0" w:evenHBand="0" w:firstRowFirstColumn="0" w:firstRowLastColumn="0" w:lastRowFirstColumn="0" w:lastRowLastColumn="0"/>
            <w:tcW w:w="1440" w:type="dxa"/>
            <w:vMerge/>
          </w:tcPr>
          <w:p w14:paraId="60997BE3" w14:textId="77777777" w:rsidR="00B53F90" w:rsidRPr="001257E7" w:rsidRDefault="00B53F90" w:rsidP="001257E7">
            <w:pPr>
              <w:tabs>
                <w:tab w:val="left" w:pos="851"/>
              </w:tabs>
              <w:rPr>
                <w:rFonts w:ascii="Times New Roman" w:hAnsi="Times New Roman" w:cs="Times New Roman"/>
                <w:sz w:val="20"/>
                <w:szCs w:val="20"/>
                <w:lang w:val="en-US"/>
              </w:rPr>
            </w:pPr>
          </w:p>
        </w:tc>
        <w:tc>
          <w:tcPr>
            <w:tcW w:w="912" w:type="dxa"/>
          </w:tcPr>
          <w:p w14:paraId="7B32928C"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 xml:space="preserve">Above </w:t>
            </w:r>
          </w:p>
        </w:tc>
        <w:tc>
          <w:tcPr>
            <w:tcW w:w="1068" w:type="dxa"/>
            <w:gridSpan w:val="2"/>
          </w:tcPr>
          <w:p w14:paraId="5E2CF1F4"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44</w:t>
            </w:r>
          </w:p>
        </w:tc>
        <w:tc>
          <w:tcPr>
            <w:tcW w:w="1111" w:type="dxa"/>
            <w:gridSpan w:val="2"/>
          </w:tcPr>
          <w:p w14:paraId="7D4B0976"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20,9%</w:t>
            </w:r>
          </w:p>
        </w:tc>
        <w:tc>
          <w:tcPr>
            <w:tcW w:w="1139" w:type="dxa"/>
          </w:tcPr>
          <w:p w14:paraId="42B6DC51"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22</w:t>
            </w:r>
          </w:p>
        </w:tc>
        <w:tc>
          <w:tcPr>
            <w:tcW w:w="1239" w:type="dxa"/>
            <w:gridSpan w:val="2"/>
          </w:tcPr>
          <w:p w14:paraId="7C2EF15B"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10,4%</w:t>
            </w:r>
          </w:p>
        </w:tc>
        <w:tc>
          <w:tcPr>
            <w:tcW w:w="824" w:type="dxa"/>
            <w:gridSpan w:val="2"/>
            <w:vMerge/>
          </w:tcPr>
          <w:p w14:paraId="2FEE1969"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7" w:type="dxa"/>
            <w:vMerge/>
          </w:tcPr>
          <w:p w14:paraId="5C51939B"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B53F90" w:rsidRPr="001257E7" w14:paraId="227E0627" w14:textId="77777777" w:rsidTr="00F72CB5">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440" w:type="dxa"/>
            <w:vMerge/>
          </w:tcPr>
          <w:p w14:paraId="3562CAD9" w14:textId="77777777" w:rsidR="00B53F90" w:rsidRPr="001257E7" w:rsidRDefault="00B53F90" w:rsidP="001257E7">
            <w:pPr>
              <w:tabs>
                <w:tab w:val="left" w:pos="851"/>
              </w:tabs>
              <w:rPr>
                <w:rFonts w:ascii="Times New Roman" w:hAnsi="Times New Roman" w:cs="Times New Roman"/>
                <w:sz w:val="20"/>
                <w:szCs w:val="20"/>
                <w:lang w:val="en-US"/>
              </w:rPr>
            </w:pPr>
          </w:p>
        </w:tc>
        <w:tc>
          <w:tcPr>
            <w:tcW w:w="912" w:type="dxa"/>
          </w:tcPr>
          <w:p w14:paraId="2A0CB343"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 xml:space="preserve">College </w:t>
            </w:r>
          </w:p>
        </w:tc>
        <w:tc>
          <w:tcPr>
            <w:tcW w:w="1068" w:type="dxa"/>
            <w:gridSpan w:val="2"/>
          </w:tcPr>
          <w:p w14:paraId="4445CF4E"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83</w:t>
            </w:r>
          </w:p>
        </w:tc>
        <w:tc>
          <w:tcPr>
            <w:tcW w:w="1111" w:type="dxa"/>
            <w:gridSpan w:val="2"/>
          </w:tcPr>
          <w:p w14:paraId="452EC57E"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39,3%</w:t>
            </w:r>
          </w:p>
        </w:tc>
        <w:tc>
          <w:tcPr>
            <w:tcW w:w="1139" w:type="dxa"/>
          </w:tcPr>
          <w:p w14:paraId="2E5B4AAA"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46</w:t>
            </w:r>
          </w:p>
        </w:tc>
        <w:tc>
          <w:tcPr>
            <w:tcW w:w="1239" w:type="dxa"/>
            <w:gridSpan w:val="2"/>
          </w:tcPr>
          <w:p w14:paraId="7F4C3811"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21,8%</w:t>
            </w:r>
          </w:p>
        </w:tc>
        <w:tc>
          <w:tcPr>
            <w:tcW w:w="824" w:type="dxa"/>
            <w:gridSpan w:val="2"/>
            <w:vMerge/>
          </w:tcPr>
          <w:p w14:paraId="2A0FDBFD"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177" w:type="dxa"/>
            <w:vMerge/>
          </w:tcPr>
          <w:p w14:paraId="3D773D78"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B53F90" w:rsidRPr="001257E7" w14:paraId="3B29BDD8" w14:textId="77777777" w:rsidTr="00F72CB5">
        <w:trPr>
          <w:trHeight w:val="76"/>
        </w:trPr>
        <w:tc>
          <w:tcPr>
            <w:cnfStyle w:val="001000000000" w:firstRow="0" w:lastRow="0" w:firstColumn="1" w:lastColumn="0" w:oddVBand="0" w:evenVBand="0" w:oddHBand="0" w:evenHBand="0" w:firstRowFirstColumn="0" w:firstRowLastColumn="0" w:lastRowFirstColumn="0" w:lastRowLastColumn="0"/>
            <w:tcW w:w="1440" w:type="dxa"/>
            <w:vMerge w:val="restart"/>
          </w:tcPr>
          <w:p w14:paraId="57BECCAD" w14:textId="77777777" w:rsidR="00B53F90" w:rsidRPr="001257E7" w:rsidRDefault="00B53F90" w:rsidP="001257E7">
            <w:pPr>
              <w:tabs>
                <w:tab w:val="left" w:pos="851"/>
              </w:tabs>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 xml:space="preserve">Work </w:t>
            </w:r>
          </w:p>
        </w:tc>
        <w:tc>
          <w:tcPr>
            <w:tcW w:w="912" w:type="dxa"/>
          </w:tcPr>
          <w:p w14:paraId="4DBEDFC4"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Work</w:t>
            </w:r>
          </w:p>
        </w:tc>
        <w:tc>
          <w:tcPr>
            <w:tcW w:w="1068" w:type="dxa"/>
            <w:gridSpan w:val="2"/>
          </w:tcPr>
          <w:p w14:paraId="2E9B30A8"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96</w:t>
            </w:r>
          </w:p>
        </w:tc>
        <w:tc>
          <w:tcPr>
            <w:tcW w:w="1111" w:type="dxa"/>
            <w:gridSpan w:val="2"/>
          </w:tcPr>
          <w:p w14:paraId="12A65754"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45,5%</w:t>
            </w:r>
          </w:p>
        </w:tc>
        <w:tc>
          <w:tcPr>
            <w:tcW w:w="1139" w:type="dxa"/>
          </w:tcPr>
          <w:p w14:paraId="1270F122"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54</w:t>
            </w:r>
          </w:p>
        </w:tc>
        <w:tc>
          <w:tcPr>
            <w:tcW w:w="1239" w:type="dxa"/>
            <w:gridSpan w:val="2"/>
          </w:tcPr>
          <w:p w14:paraId="11DF60FF"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25,6%</w:t>
            </w:r>
          </w:p>
        </w:tc>
        <w:tc>
          <w:tcPr>
            <w:tcW w:w="824" w:type="dxa"/>
            <w:gridSpan w:val="2"/>
            <w:vMerge w:val="restart"/>
          </w:tcPr>
          <w:p w14:paraId="4198E097"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sz w:val="20"/>
                <w:szCs w:val="20"/>
                <w:lang w:val="en"/>
              </w:rPr>
              <w:t>0,367</w:t>
            </w:r>
          </w:p>
        </w:tc>
        <w:tc>
          <w:tcPr>
            <w:tcW w:w="1177" w:type="dxa"/>
            <w:vMerge w:val="restart"/>
          </w:tcPr>
          <w:p w14:paraId="20ECE569"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no difference</w:t>
            </w:r>
          </w:p>
        </w:tc>
      </w:tr>
      <w:tr w:rsidR="00B53F90" w:rsidRPr="001257E7" w14:paraId="3F8B3189" w14:textId="77777777" w:rsidTr="00F72CB5">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440" w:type="dxa"/>
            <w:vMerge/>
          </w:tcPr>
          <w:p w14:paraId="4B64D2FF" w14:textId="77777777" w:rsidR="00B53F90" w:rsidRPr="001257E7" w:rsidRDefault="00B53F90" w:rsidP="001257E7">
            <w:pPr>
              <w:tabs>
                <w:tab w:val="left" w:pos="851"/>
              </w:tabs>
              <w:rPr>
                <w:rFonts w:ascii="Times New Roman" w:hAnsi="Times New Roman" w:cs="Times New Roman"/>
                <w:sz w:val="20"/>
                <w:szCs w:val="20"/>
                <w:lang w:val="en-US"/>
              </w:rPr>
            </w:pPr>
          </w:p>
        </w:tc>
        <w:tc>
          <w:tcPr>
            <w:tcW w:w="912" w:type="dxa"/>
          </w:tcPr>
          <w:p w14:paraId="75FF5E12"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Not Working</w:t>
            </w:r>
          </w:p>
        </w:tc>
        <w:tc>
          <w:tcPr>
            <w:tcW w:w="1068" w:type="dxa"/>
            <w:gridSpan w:val="2"/>
          </w:tcPr>
          <w:p w14:paraId="60C8C5C8"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43</w:t>
            </w:r>
          </w:p>
        </w:tc>
        <w:tc>
          <w:tcPr>
            <w:tcW w:w="1111" w:type="dxa"/>
            <w:gridSpan w:val="2"/>
          </w:tcPr>
          <w:p w14:paraId="11588391"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20,4%</w:t>
            </w:r>
          </w:p>
        </w:tc>
        <w:tc>
          <w:tcPr>
            <w:tcW w:w="1139" w:type="dxa"/>
          </w:tcPr>
          <w:p w14:paraId="0BBC1976"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18</w:t>
            </w:r>
          </w:p>
        </w:tc>
        <w:tc>
          <w:tcPr>
            <w:tcW w:w="1239" w:type="dxa"/>
            <w:gridSpan w:val="2"/>
          </w:tcPr>
          <w:p w14:paraId="4A2977CB"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8,5%</w:t>
            </w:r>
          </w:p>
        </w:tc>
        <w:tc>
          <w:tcPr>
            <w:tcW w:w="824" w:type="dxa"/>
            <w:gridSpan w:val="2"/>
            <w:vMerge/>
          </w:tcPr>
          <w:p w14:paraId="33E57BDE"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177" w:type="dxa"/>
            <w:vMerge/>
          </w:tcPr>
          <w:p w14:paraId="05CDB451"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B53F90" w:rsidRPr="001257E7" w14:paraId="01ED680C" w14:textId="77777777" w:rsidTr="00F72CB5">
        <w:trPr>
          <w:trHeight w:val="76"/>
        </w:trPr>
        <w:tc>
          <w:tcPr>
            <w:cnfStyle w:val="001000000000" w:firstRow="0" w:lastRow="0" w:firstColumn="1" w:lastColumn="0" w:oddVBand="0" w:evenVBand="0" w:oddHBand="0" w:evenHBand="0" w:firstRowFirstColumn="0" w:firstRowLastColumn="0" w:lastRowFirstColumn="0" w:lastRowLastColumn="0"/>
            <w:tcW w:w="1440" w:type="dxa"/>
            <w:vMerge w:val="restart"/>
          </w:tcPr>
          <w:p w14:paraId="59F831C1" w14:textId="77777777" w:rsidR="00B53F90" w:rsidRPr="001257E7" w:rsidRDefault="00B53F90" w:rsidP="001257E7">
            <w:pPr>
              <w:tabs>
                <w:tab w:val="left" w:pos="851"/>
              </w:tabs>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Payment Systems</w:t>
            </w:r>
          </w:p>
        </w:tc>
        <w:tc>
          <w:tcPr>
            <w:tcW w:w="912" w:type="dxa"/>
          </w:tcPr>
          <w:p w14:paraId="2199A2EA"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BPJS</w:t>
            </w:r>
          </w:p>
        </w:tc>
        <w:tc>
          <w:tcPr>
            <w:tcW w:w="1068" w:type="dxa"/>
            <w:gridSpan w:val="2"/>
          </w:tcPr>
          <w:p w14:paraId="1E0BB0C5"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55</w:t>
            </w:r>
          </w:p>
        </w:tc>
        <w:tc>
          <w:tcPr>
            <w:tcW w:w="1111" w:type="dxa"/>
            <w:gridSpan w:val="2"/>
          </w:tcPr>
          <w:p w14:paraId="41892D2A"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26,1%</w:t>
            </w:r>
          </w:p>
        </w:tc>
        <w:tc>
          <w:tcPr>
            <w:tcW w:w="1139" w:type="dxa"/>
          </w:tcPr>
          <w:p w14:paraId="4696758E"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37</w:t>
            </w:r>
          </w:p>
        </w:tc>
        <w:tc>
          <w:tcPr>
            <w:tcW w:w="1239" w:type="dxa"/>
            <w:gridSpan w:val="2"/>
          </w:tcPr>
          <w:p w14:paraId="1528A580"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17,5%</w:t>
            </w:r>
          </w:p>
        </w:tc>
        <w:tc>
          <w:tcPr>
            <w:tcW w:w="824" w:type="dxa"/>
            <w:gridSpan w:val="2"/>
            <w:vMerge w:val="restart"/>
          </w:tcPr>
          <w:p w14:paraId="5361DBF7"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sz w:val="20"/>
                <w:szCs w:val="20"/>
                <w:lang w:val="en"/>
              </w:rPr>
              <w:t>0,101</w:t>
            </w:r>
          </w:p>
        </w:tc>
        <w:tc>
          <w:tcPr>
            <w:tcW w:w="1177" w:type="dxa"/>
            <w:vMerge w:val="restart"/>
          </w:tcPr>
          <w:p w14:paraId="6C4082F8"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no difference</w:t>
            </w:r>
          </w:p>
        </w:tc>
      </w:tr>
      <w:tr w:rsidR="00B53F90" w:rsidRPr="001257E7" w14:paraId="004A477B" w14:textId="77777777" w:rsidTr="00F72CB5">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440" w:type="dxa"/>
            <w:vMerge/>
          </w:tcPr>
          <w:p w14:paraId="0BBD42E5" w14:textId="77777777" w:rsidR="00B53F90" w:rsidRPr="001257E7" w:rsidRDefault="00B53F90" w:rsidP="001257E7">
            <w:pPr>
              <w:tabs>
                <w:tab w:val="left" w:pos="851"/>
              </w:tabs>
              <w:rPr>
                <w:rFonts w:ascii="Times New Roman" w:hAnsi="Times New Roman" w:cs="Times New Roman"/>
                <w:sz w:val="20"/>
                <w:szCs w:val="20"/>
                <w:lang w:val="en-US"/>
              </w:rPr>
            </w:pPr>
          </w:p>
        </w:tc>
        <w:tc>
          <w:tcPr>
            <w:tcW w:w="912" w:type="dxa"/>
          </w:tcPr>
          <w:p w14:paraId="76BBF6F3"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Common</w:t>
            </w:r>
          </w:p>
        </w:tc>
        <w:tc>
          <w:tcPr>
            <w:tcW w:w="1068" w:type="dxa"/>
            <w:gridSpan w:val="2"/>
          </w:tcPr>
          <w:p w14:paraId="23FDBC1C"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84</w:t>
            </w:r>
          </w:p>
        </w:tc>
        <w:tc>
          <w:tcPr>
            <w:tcW w:w="1111" w:type="dxa"/>
            <w:gridSpan w:val="2"/>
          </w:tcPr>
          <w:p w14:paraId="582641D5"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39,8%</w:t>
            </w:r>
          </w:p>
        </w:tc>
        <w:tc>
          <w:tcPr>
            <w:tcW w:w="1139" w:type="dxa"/>
          </w:tcPr>
          <w:p w14:paraId="4EB8630B"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35</w:t>
            </w:r>
          </w:p>
        </w:tc>
        <w:tc>
          <w:tcPr>
            <w:tcW w:w="1239" w:type="dxa"/>
            <w:gridSpan w:val="2"/>
          </w:tcPr>
          <w:p w14:paraId="12BC6E99"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16,6%</w:t>
            </w:r>
          </w:p>
        </w:tc>
        <w:tc>
          <w:tcPr>
            <w:tcW w:w="824" w:type="dxa"/>
            <w:gridSpan w:val="2"/>
            <w:vMerge/>
          </w:tcPr>
          <w:p w14:paraId="61EB8FA3"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177" w:type="dxa"/>
            <w:vMerge/>
          </w:tcPr>
          <w:p w14:paraId="24F258ED"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B53F90" w:rsidRPr="001257E7" w14:paraId="461FEF04" w14:textId="77777777" w:rsidTr="00F72CB5">
        <w:trPr>
          <w:trHeight w:val="76"/>
        </w:trPr>
        <w:tc>
          <w:tcPr>
            <w:cnfStyle w:val="001000000000" w:firstRow="0" w:lastRow="0" w:firstColumn="1" w:lastColumn="0" w:oddVBand="0" w:evenVBand="0" w:oddHBand="0" w:evenHBand="0" w:firstRowFirstColumn="0" w:firstRowLastColumn="0" w:lastRowFirstColumn="0" w:lastRowLastColumn="0"/>
            <w:tcW w:w="1440" w:type="dxa"/>
            <w:vMerge w:val="restart"/>
          </w:tcPr>
          <w:p w14:paraId="3CA4E2D2" w14:textId="77777777" w:rsidR="00B53F90" w:rsidRPr="001257E7" w:rsidRDefault="00B53F90" w:rsidP="001257E7">
            <w:pPr>
              <w:tabs>
                <w:tab w:val="left" w:pos="851"/>
              </w:tabs>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History of the disease</w:t>
            </w:r>
          </w:p>
        </w:tc>
        <w:tc>
          <w:tcPr>
            <w:tcW w:w="912" w:type="dxa"/>
          </w:tcPr>
          <w:p w14:paraId="1C9E616B"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 xml:space="preserve">Diabetes Mellitus </w:t>
            </w:r>
          </w:p>
        </w:tc>
        <w:tc>
          <w:tcPr>
            <w:tcW w:w="1068" w:type="dxa"/>
            <w:gridSpan w:val="2"/>
          </w:tcPr>
          <w:p w14:paraId="030C008B"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25</w:t>
            </w:r>
          </w:p>
        </w:tc>
        <w:tc>
          <w:tcPr>
            <w:tcW w:w="1111" w:type="dxa"/>
            <w:gridSpan w:val="2"/>
          </w:tcPr>
          <w:p w14:paraId="7E7D9096"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11,8%</w:t>
            </w:r>
          </w:p>
        </w:tc>
        <w:tc>
          <w:tcPr>
            <w:tcW w:w="1139" w:type="dxa"/>
          </w:tcPr>
          <w:p w14:paraId="3220BE43"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17</w:t>
            </w:r>
          </w:p>
        </w:tc>
        <w:tc>
          <w:tcPr>
            <w:tcW w:w="1239" w:type="dxa"/>
            <w:gridSpan w:val="2"/>
          </w:tcPr>
          <w:p w14:paraId="2D2FCCCF"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8,1%</w:t>
            </w:r>
          </w:p>
        </w:tc>
        <w:tc>
          <w:tcPr>
            <w:tcW w:w="824" w:type="dxa"/>
            <w:gridSpan w:val="2"/>
            <w:vMerge w:val="restart"/>
          </w:tcPr>
          <w:p w14:paraId="1DD0EB15"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sz w:val="20"/>
                <w:szCs w:val="20"/>
                <w:lang w:val="en"/>
              </w:rPr>
              <w:t>0,315</w:t>
            </w:r>
          </w:p>
        </w:tc>
        <w:tc>
          <w:tcPr>
            <w:tcW w:w="1177" w:type="dxa"/>
            <w:vMerge w:val="restart"/>
          </w:tcPr>
          <w:p w14:paraId="72D73BD9"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no difference</w:t>
            </w:r>
          </w:p>
        </w:tc>
      </w:tr>
      <w:tr w:rsidR="00B53F90" w:rsidRPr="001257E7" w14:paraId="62C724FF" w14:textId="77777777" w:rsidTr="00F72CB5">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440" w:type="dxa"/>
            <w:vMerge/>
          </w:tcPr>
          <w:p w14:paraId="5221379B" w14:textId="77777777" w:rsidR="00B53F90" w:rsidRPr="001257E7" w:rsidRDefault="00B53F90" w:rsidP="001257E7">
            <w:pPr>
              <w:tabs>
                <w:tab w:val="left" w:pos="851"/>
              </w:tabs>
              <w:rPr>
                <w:rFonts w:ascii="Times New Roman" w:hAnsi="Times New Roman" w:cs="Times New Roman"/>
                <w:sz w:val="20"/>
                <w:szCs w:val="20"/>
                <w:lang w:val="en-US"/>
              </w:rPr>
            </w:pPr>
          </w:p>
        </w:tc>
        <w:tc>
          <w:tcPr>
            <w:tcW w:w="912" w:type="dxa"/>
          </w:tcPr>
          <w:p w14:paraId="5F5F1644"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Hypertension</w:t>
            </w:r>
          </w:p>
        </w:tc>
        <w:tc>
          <w:tcPr>
            <w:tcW w:w="1068" w:type="dxa"/>
            <w:gridSpan w:val="2"/>
          </w:tcPr>
          <w:p w14:paraId="5DE60A30"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22</w:t>
            </w:r>
          </w:p>
        </w:tc>
        <w:tc>
          <w:tcPr>
            <w:tcW w:w="1111" w:type="dxa"/>
            <w:gridSpan w:val="2"/>
          </w:tcPr>
          <w:p w14:paraId="5D21CB52"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10,4%</w:t>
            </w:r>
          </w:p>
        </w:tc>
        <w:tc>
          <w:tcPr>
            <w:tcW w:w="1139" w:type="dxa"/>
          </w:tcPr>
          <w:p w14:paraId="7481FA9A"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17</w:t>
            </w:r>
          </w:p>
        </w:tc>
        <w:tc>
          <w:tcPr>
            <w:tcW w:w="1239" w:type="dxa"/>
            <w:gridSpan w:val="2"/>
          </w:tcPr>
          <w:p w14:paraId="3977E2C7"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8,1%</w:t>
            </w:r>
          </w:p>
        </w:tc>
        <w:tc>
          <w:tcPr>
            <w:tcW w:w="824" w:type="dxa"/>
            <w:gridSpan w:val="2"/>
            <w:vMerge/>
          </w:tcPr>
          <w:p w14:paraId="4743B772"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177" w:type="dxa"/>
            <w:vMerge/>
          </w:tcPr>
          <w:p w14:paraId="0BE17160"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B53F90" w:rsidRPr="001257E7" w14:paraId="5786C1A7" w14:textId="77777777" w:rsidTr="00F72CB5">
        <w:trPr>
          <w:trHeight w:val="76"/>
        </w:trPr>
        <w:tc>
          <w:tcPr>
            <w:cnfStyle w:val="001000000000" w:firstRow="0" w:lastRow="0" w:firstColumn="1" w:lastColumn="0" w:oddVBand="0" w:evenVBand="0" w:oddHBand="0" w:evenHBand="0" w:firstRowFirstColumn="0" w:firstRowLastColumn="0" w:lastRowFirstColumn="0" w:lastRowLastColumn="0"/>
            <w:tcW w:w="1440" w:type="dxa"/>
            <w:vMerge/>
          </w:tcPr>
          <w:p w14:paraId="0CE34287" w14:textId="77777777" w:rsidR="00B53F90" w:rsidRPr="001257E7" w:rsidRDefault="00B53F90" w:rsidP="001257E7">
            <w:pPr>
              <w:tabs>
                <w:tab w:val="left" w:pos="851"/>
              </w:tabs>
              <w:rPr>
                <w:rFonts w:ascii="Times New Roman" w:hAnsi="Times New Roman" w:cs="Times New Roman"/>
                <w:sz w:val="20"/>
                <w:szCs w:val="20"/>
                <w:lang w:val="en-US"/>
              </w:rPr>
            </w:pPr>
          </w:p>
        </w:tc>
        <w:tc>
          <w:tcPr>
            <w:tcW w:w="912" w:type="dxa"/>
          </w:tcPr>
          <w:p w14:paraId="057BDA23"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Cardiovascular (CVD)</w:t>
            </w:r>
          </w:p>
        </w:tc>
        <w:tc>
          <w:tcPr>
            <w:tcW w:w="1068" w:type="dxa"/>
            <w:gridSpan w:val="2"/>
          </w:tcPr>
          <w:p w14:paraId="7B6C20D1"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27</w:t>
            </w:r>
          </w:p>
        </w:tc>
        <w:tc>
          <w:tcPr>
            <w:tcW w:w="1111" w:type="dxa"/>
            <w:gridSpan w:val="2"/>
          </w:tcPr>
          <w:p w14:paraId="7E33E34A"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12,8%</w:t>
            </w:r>
          </w:p>
        </w:tc>
        <w:tc>
          <w:tcPr>
            <w:tcW w:w="1139" w:type="dxa"/>
          </w:tcPr>
          <w:p w14:paraId="27A38758"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11</w:t>
            </w:r>
          </w:p>
        </w:tc>
        <w:tc>
          <w:tcPr>
            <w:tcW w:w="1239" w:type="dxa"/>
            <w:gridSpan w:val="2"/>
          </w:tcPr>
          <w:p w14:paraId="478BFF61"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5,2%</w:t>
            </w:r>
          </w:p>
        </w:tc>
        <w:tc>
          <w:tcPr>
            <w:tcW w:w="824" w:type="dxa"/>
            <w:gridSpan w:val="2"/>
            <w:vMerge/>
          </w:tcPr>
          <w:p w14:paraId="60D0FFDB"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7" w:type="dxa"/>
            <w:vMerge/>
          </w:tcPr>
          <w:p w14:paraId="4CF469AC"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B53F90" w:rsidRPr="001257E7" w14:paraId="06D4D2E9" w14:textId="77777777" w:rsidTr="00F72CB5">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440" w:type="dxa"/>
            <w:vMerge/>
          </w:tcPr>
          <w:p w14:paraId="67BFF929" w14:textId="77777777" w:rsidR="00B53F90" w:rsidRPr="001257E7" w:rsidRDefault="00B53F90" w:rsidP="001257E7">
            <w:pPr>
              <w:tabs>
                <w:tab w:val="left" w:pos="851"/>
              </w:tabs>
              <w:rPr>
                <w:rFonts w:ascii="Times New Roman" w:hAnsi="Times New Roman" w:cs="Times New Roman"/>
                <w:sz w:val="20"/>
                <w:szCs w:val="20"/>
                <w:lang w:val="en-US"/>
              </w:rPr>
            </w:pPr>
          </w:p>
        </w:tc>
        <w:tc>
          <w:tcPr>
            <w:tcW w:w="912" w:type="dxa"/>
          </w:tcPr>
          <w:p w14:paraId="4AC67D66"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proofErr w:type="spellStart"/>
            <w:r w:rsidRPr="001257E7">
              <w:rPr>
                <w:rFonts w:ascii="Times New Roman" w:hAnsi="Times New Roman" w:cs="Times New Roman"/>
                <w:b/>
                <w:bCs/>
                <w:color w:val="000000"/>
                <w:sz w:val="20"/>
                <w:szCs w:val="20"/>
                <w:lang w:val="en"/>
              </w:rPr>
              <w:t>Tubercolosis</w:t>
            </w:r>
            <w:proofErr w:type="spellEnd"/>
            <w:r w:rsidRPr="001257E7">
              <w:rPr>
                <w:rFonts w:ascii="Times New Roman" w:hAnsi="Times New Roman" w:cs="Times New Roman"/>
                <w:b/>
                <w:bCs/>
                <w:color w:val="000000"/>
                <w:sz w:val="20"/>
                <w:szCs w:val="20"/>
                <w:lang w:val="en"/>
              </w:rPr>
              <w:t xml:space="preserve"> (tuberculosis)</w:t>
            </w:r>
          </w:p>
        </w:tc>
        <w:tc>
          <w:tcPr>
            <w:tcW w:w="1068" w:type="dxa"/>
            <w:gridSpan w:val="2"/>
          </w:tcPr>
          <w:p w14:paraId="3BC59449"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3</w:t>
            </w:r>
          </w:p>
        </w:tc>
        <w:tc>
          <w:tcPr>
            <w:tcW w:w="1111" w:type="dxa"/>
            <w:gridSpan w:val="2"/>
          </w:tcPr>
          <w:p w14:paraId="25D69361"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1,4%</w:t>
            </w:r>
          </w:p>
        </w:tc>
        <w:tc>
          <w:tcPr>
            <w:tcW w:w="1139" w:type="dxa"/>
          </w:tcPr>
          <w:p w14:paraId="33E0C86E"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w:t>
            </w:r>
          </w:p>
        </w:tc>
        <w:tc>
          <w:tcPr>
            <w:tcW w:w="1239" w:type="dxa"/>
            <w:gridSpan w:val="2"/>
          </w:tcPr>
          <w:p w14:paraId="5175F5C8"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0,00%</w:t>
            </w:r>
          </w:p>
        </w:tc>
        <w:tc>
          <w:tcPr>
            <w:tcW w:w="824" w:type="dxa"/>
            <w:gridSpan w:val="2"/>
            <w:vMerge/>
          </w:tcPr>
          <w:p w14:paraId="3562E0FC"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177" w:type="dxa"/>
            <w:vMerge/>
          </w:tcPr>
          <w:p w14:paraId="2D5DE988"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B53F90" w:rsidRPr="001257E7" w14:paraId="535BCE8E" w14:textId="77777777" w:rsidTr="00F72CB5">
        <w:trPr>
          <w:trHeight w:val="76"/>
        </w:trPr>
        <w:tc>
          <w:tcPr>
            <w:cnfStyle w:val="001000000000" w:firstRow="0" w:lastRow="0" w:firstColumn="1" w:lastColumn="0" w:oddVBand="0" w:evenVBand="0" w:oddHBand="0" w:evenHBand="0" w:firstRowFirstColumn="0" w:firstRowLastColumn="0" w:lastRowFirstColumn="0" w:lastRowLastColumn="0"/>
            <w:tcW w:w="1440" w:type="dxa"/>
            <w:vMerge/>
          </w:tcPr>
          <w:p w14:paraId="2DABF994" w14:textId="77777777" w:rsidR="00B53F90" w:rsidRPr="001257E7" w:rsidRDefault="00B53F90" w:rsidP="001257E7">
            <w:pPr>
              <w:tabs>
                <w:tab w:val="left" w:pos="851"/>
              </w:tabs>
              <w:rPr>
                <w:rFonts w:ascii="Times New Roman" w:hAnsi="Times New Roman" w:cs="Times New Roman"/>
                <w:sz w:val="20"/>
                <w:szCs w:val="20"/>
                <w:lang w:val="en-US"/>
              </w:rPr>
            </w:pPr>
          </w:p>
        </w:tc>
        <w:tc>
          <w:tcPr>
            <w:tcW w:w="912" w:type="dxa"/>
          </w:tcPr>
          <w:p w14:paraId="399280CD"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 xml:space="preserve">Asthma </w:t>
            </w:r>
          </w:p>
        </w:tc>
        <w:tc>
          <w:tcPr>
            <w:tcW w:w="1068" w:type="dxa"/>
            <w:gridSpan w:val="2"/>
          </w:tcPr>
          <w:p w14:paraId="446410BD"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1</w:t>
            </w:r>
          </w:p>
        </w:tc>
        <w:tc>
          <w:tcPr>
            <w:tcW w:w="1111" w:type="dxa"/>
            <w:gridSpan w:val="2"/>
          </w:tcPr>
          <w:p w14:paraId="4DE2FB73"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0,5%</w:t>
            </w:r>
          </w:p>
        </w:tc>
        <w:tc>
          <w:tcPr>
            <w:tcW w:w="1139" w:type="dxa"/>
          </w:tcPr>
          <w:p w14:paraId="17D54DFC"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w:t>
            </w:r>
          </w:p>
        </w:tc>
        <w:tc>
          <w:tcPr>
            <w:tcW w:w="1239" w:type="dxa"/>
            <w:gridSpan w:val="2"/>
          </w:tcPr>
          <w:p w14:paraId="6D1D82E7" w14:textId="77777777" w:rsidR="00B53F90" w:rsidRPr="001257E7" w:rsidRDefault="00B53F90" w:rsidP="001257E7">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0,00%</w:t>
            </w:r>
          </w:p>
        </w:tc>
        <w:tc>
          <w:tcPr>
            <w:tcW w:w="824" w:type="dxa"/>
            <w:gridSpan w:val="2"/>
            <w:vMerge/>
          </w:tcPr>
          <w:p w14:paraId="2033C744"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7" w:type="dxa"/>
            <w:vMerge/>
          </w:tcPr>
          <w:p w14:paraId="7D702C2E"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B53F90" w:rsidRPr="001257E7" w14:paraId="0ADF34B4" w14:textId="77777777" w:rsidTr="00F72CB5">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440" w:type="dxa"/>
            <w:vMerge/>
          </w:tcPr>
          <w:p w14:paraId="04100285" w14:textId="77777777" w:rsidR="00B53F90" w:rsidRPr="001257E7" w:rsidRDefault="00B53F90" w:rsidP="001257E7">
            <w:pPr>
              <w:tabs>
                <w:tab w:val="left" w:pos="851"/>
              </w:tabs>
              <w:rPr>
                <w:rFonts w:ascii="Times New Roman" w:hAnsi="Times New Roman" w:cs="Times New Roman"/>
                <w:sz w:val="20"/>
                <w:szCs w:val="20"/>
                <w:lang w:val="en-US"/>
              </w:rPr>
            </w:pPr>
          </w:p>
        </w:tc>
        <w:tc>
          <w:tcPr>
            <w:tcW w:w="912" w:type="dxa"/>
          </w:tcPr>
          <w:p w14:paraId="753D4F20"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rPr>
            </w:pPr>
            <w:r w:rsidRPr="001257E7">
              <w:rPr>
                <w:rFonts w:ascii="Times New Roman" w:hAnsi="Times New Roman" w:cs="Times New Roman"/>
                <w:b/>
                <w:bCs/>
                <w:color w:val="000000"/>
                <w:sz w:val="20"/>
                <w:szCs w:val="20"/>
                <w:lang w:val="en"/>
              </w:rPr>
              <w:t xml:space="preserve">None </w:t>
            </w:r>
          </w:p>
        </w:tc>
        <w:tc>
          <w:tcPr>
            <w:tcW w:w="1068" w:type="dxa"/>
            <w:gridSpan w:val="2"/>
          </w:tcPr>
          <w:p w14:paraId="4C118246"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257E7">
              <w:rPr>
                <w:rFonts w:ascii="Times New Roman" w:hAnsi="Times New Roman" w:cs="Times New Roman"/>
                <w:color w:val="000000"/>
                <w:sz w:val="20"/>
                <w:szCs w:val="20"/>
                <w:lang w:val="en"/>
              </w:rPr>
              <w:t>60</w:t>
            </w:r>
          </w:p>
        </w:tc>
        <w:tc>
          <w:tcPr>
            <w:tcW w:w="1111" w:type="dxa"/>
            <w:gridSpan w:val="2"/>
          </w:tcPr>
          <w:p w14:paraId="56BF96D0"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28,4%</w:t>
            </w:r>
          </w:p>
        </w:tc>
        <w:tc>
          <w:tcPr>
            <w:tcW w:w="1139" w:type="dxa"/>
          </w:tcPr>
          <w:p w14:paraId="0F098C2C"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26</w:t>
            </w:r>
          </w:p>
        </w:tc>
        <w:tc>
          <w:tcPr>
            <w:tcW w:w="1239" w:type="dxa"/>
            <w:gridSpan w:val="2"/>
          </w:tcPr>
          <w:p w14:paraId="7C5328F5" w14:textId="77777777" w:rsidR="00B53F90" w:rsidRPr="001257E7" w:rsidRDefault="00B53F90" w:rsidP="001257E7">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257E7">
              <w:rPr>
                <w:rFonts w:ascii="Times New Roman" w:hAnsi="Times New Roman" w:cs="Times New Roman"/>
                <w:color w:val="000000"/>
                <w:sz w:val="20"/>
                <w:szCs w:val="20"/>
                <w:lang w:val="en"/>
              </w:rPr>
              <w:t>12,3%</w:t>
            </w:r>
          </w:p>
        </w:tc>
        <w:tc>
          <w:tcPr>
            <w:tcW w:w="824" w:type="dxa"/>
            <w:gridSpan w:val="2"/>
            <w:vMerge/>
          </w:tcPr>
          <w:p w14:paraId="1D5728F4"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177" w:type="dxa"/>
            <w:vMerge/>
          </w:tcPr>
          <w:p w14:paraId="33CAEC7D"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bl>
    <w:p w14:paraId="075CD921" w14:textId="45765F58" w:rsidR="0003400E" w:rsidRPr="001257E7" w:rsidRDefault="0003400E" w:rsidP="001257E7">
      <w:pPr>
        <w:pStyle w:val="NormalWeb"/>
        <w:spacing w:before="0" w:beforeAutospacing="0" w:after="0" w:afterAutospacing="0"/>
        <w:jc w:val="center"/>
        <w:rPr>
          <w:b/>
          <w:bCs/>
          <w:sz w:val="22"/>
          <w:szCs w:val="22"/>
        </w:rPr>
      </w:pPr>
      <w:r w:rsidRPr="001257E7">
        <w:rPr>
          <w:b/>
          <w:bCs/>
          <w:color w:val="0C0C0C"/>
          <w:sz w:val="22"/>
          <w:szCs w:val="22"/>
          <w:lang w:val="en"/>
        </w:rPr>
        <w:t xml:space="preserve">Table 1. </w:t>
      </w:r>
      <w:r w:rsidRPr="001257E7">
        <w:rPr>
          <w:b/>
          <w:bCs/>
          <w:sz w:val="22"/>
          <w:szCs w:val="22"/>
          <w:lang w:val="en"/>
        </w:rPr>
        <w:t>Basic characteristics of the subjects of study</w:t>
      </w:r>
    </w:p>
    <w:p w14:paraId="47975621" w14:textId="77777777" w:rsidR="0003400E" w:rsidRPr="001257E7" w:rsidRDefault="0003400E" w:rsidP="001257E7">
      <w:pPr>
        <w:pStyle w:val="NormalWeb"/>
        <w:spacing w:before="0" w:beforeAutospacing="0" w:after="0" w:afterAutospacing="0"/>
        <w:rPr>
          <w:b/>
          <w:bCs/>
          <w:color w:val="0C0C0C"/>
          <w:sz w:val="22"/>
          <w:szCs w:val="22"/>
        </w:rPr>
      </w:pPr>
    </w:p>
    <w:p w14:paraId="309CCA1A" w14:textId="77777777" w:rsidR="0003400E" w:rsidRPr="001257E7" w:rsidRDefault="0003400E" w:rsidP="001257E7">
      <w:pPr>
        <w:pStyle w:val="NormalWeb"/>
        <w:spacing w:before="0" w:beforeAutospacing="0" w:after="0" w:afterAutospacing="0"/>
        <w:rPr>
          <w:b/>
          <w:bCs/>
          <w:color w:val="0C0C0C"/>
          <w:sz w:val="22"/>
          <w:szCs w:val="22"/>
        </w:rPr>
      </w:pPr>
    </w:p>
    <w:p w14:paraId="67ED6710" w14:textId="13D01405" w:rsidR="00B53F90" w:rsidRPr="001257E7" w:rsidRDefault="00B53F90" w:rsidP="00F72CB5">
      <w:pPr>
        <w:pStyle w:val="NormalWeb"/>
        <w:spacing w:before="0" w:beforeAutospacing="0" w:after="0" w:afterAutospacing="0"/>
        <w:jc w:val="center"/>
        <w:rPr>
          <w:b/>
          <w:bCs/>
          <w:sz w:val="22"/>
          <w:szCs w:val="22"/>
        </w:rPr>
      </w:pPr>
      <w:r w:rsidRPr="001257E7">
        <w:rPr>
          <w:b/>
          <w:bCs/>
          <w:color w:val="0C0C0C"/>
          <w:sz w:val="22"/>
          <w:szCs w:val="22"/>
          <w:lang w:val="en"/>
        </w:rPr>
        <w:lastRenderedPageBreak/>
        <w:t>Table 2. Total cost (</w:t>
      </w:r>
      <w:r w:rsidRPr="001257E7">
        <w:rPr>
          <w:b/>
          <w:bCs/>
          <w:i/>
          <w:iCs/>
          <w:color w:val="0C0C0C"/>
          <w:sz w:val="22"/>
          <w:szCs w:val="22"/>
          <w:lang w:val="en"/>
        </w:rPr>
        <w:t>Direct Medical Cost)</w:t>
      </w:r>
    </w:p>
    <w:tbl>
      <w:tblPr>
        <w:tblStyle w:val="TabelBiasa3"/>
        <w:tblpPr w:leftFromText="180" w:rightFromText="180" w:vertAnchor="text" w:horzAnchor="margin" w:tblpXSpec="center" w:tblpY="35"/>
        <w:tblW w:w="9285" w:type="dxa"/>
        <w:tblLook w:val="04A0" w:firstRow="1" w:lastRow="0" w:firstColumn="1" w:lastColumn="0" w:noHBand="0" w:noVBand="1"/>
      </w:tblPr>
      <w:tblGrid>
        <w:gridCol w:w="3261"/>
        <w:gridCol w:w="2871"/>
        <w:gridCol w:w="3153"/>
      </w:tblGrid>
      <w:tr w:rsidR="00B53F90" w:rsidRPr="001257E7" w14:paraId="4992D2D5" w14:textId="77777777" w:rsidTr="00B53F90">
        <w:trPr>
          <w:cnfStyle w:val="100000000000" w:firstRow="1" w:lastRow="0" w:firstColumn="0" w:lastColumn="0" w:oddVBand="0" w:evenVBand="0" w:oddHBand="0" w:evenHBand="0" w:firstRowFirstColumn="0" w:firstRowLastColumn="0" w:lastRowFirstColumn="0" w:lastRowLastColumn="0"/>
          <w:trHeight w:val="275"/>
        </w:trPr>
        <w:tc>
          <w:tcPr>
            <w:cnfStyle w:val="001000000100" w:firstRow="0" w:lastRow="0" w:firstColumn="1" w:lastColumn="0" w:oddVBand="0" w:evenVBand="0" w:oddHBand="0" w:evenHBand="0" w:firstRowFirstColumn="1" w:firstRowLastColumn="0" w:lastRowFirstColumn="0" w:lastRowLastColumn="0"/>
            <w:tcW w:w="3261" w:type="dxa"/>
          </w:tcPr>
          <w:p w14:paraId="3B4D2345" w14:textId="77777777" w:rsidR="00B53F90" w:rsidRPr="001257E7" w:rsidRDefault="00B53F90" w:rsidP="001257E7">
            <w:pPr>
              <w:tabs>
                <w:tab w:val="left" w:pos="851"/>
              </w:tabs>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Direct Medical Costs</w:t>
            </w:r>
          </w:p>
        </w:tc>
        <w:tc>
          <w:tcPr>
            <w:tcW w:w="2871" w:type="dxa"/>
          </w:tcPr>
          <w:p w14:paraId="194ED16E" w14:textId="77777777" w:rsidR="00B53F90" w:rsidRPr="001257E7" w:rsidRDefault="00B53F90" w:rsidP="001257E7">
            <w:pPr>
              <w:tabs>
                <w:tab w:val="left" w:pos="851"/>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Remdesivir Group</w:t>
            </w:r>
          </w:p>
        </w:tc>
        <w:tc>
          <w:tcPr>
            <w:tcW w:w="3153" w:type="dxa"/>
          </w:tcPr>
          <w:p w14:paraId="7FC527BF" w14:textId="77777777" w:rsidR="00B53F90" w:rsidRPr="001257E7" w:rsidRDefault="00B53F90" w:rsidP="001257E7">
            <w:pPr>
              <w:tabs>
                <w:tab w:val="left" w:pos="851"/>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Favipiravir Group</w:t>
            </w:r>
          </w:p>
        </w:tc>
      </w:tr>
      <w:tr w:rsidR="00B53F90" w:rsidRPr="001257E7" w14:paraId="63774FD7" w14:textId="77777777" w:rsidTr="00B53F9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261" w:type="dxa"/>
          </w:tcPr>
          <w:p w14:paraId="20AF0661" w14:textId="61AE993E" w:rsidR="00B53F90" w:rsidRPr="001257E7" w:rsidRDefault="00B53F90" w:rsidP="001257E7">
            <w:pPr>
              <w:tabs>
                <w:tab w:val="left" w:pos="851"/>
              </w:tabs>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 xml:space="preserve">The cost of antiviral drugs </w:t>
            </w:r>
          </w:p>
        </w:tc>
        <w:tc>
          <w:tcPr>
            <w:tcW w:w="2871" w:type="dxa"/>
          </w:tcPr>
          <w:p w14:paraId="75947846"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2,172,835.42</w:t>
            </w:r>
          </w:p>
        </w:tc>
        <w:tc>
          <w:tcPr>
            <w:tcW w:w="3153" w:type="dxa"/>
          </w:tcPr>
          <w:p w14:paraId="5BD708BE"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663,000.00</w:t>
            </w:r>
          </w:p>
        </w:tc>
      </w:tr>
      <w:tr w:rsidR="00B53F90" w:rsidRPr="001257E7" w14:paraId="0F68B751" w14:textId="77777777" w:rsidTr="00B53F90">
        <w:trPr>
          <w:trHeight w:val="275"/>
        </w:trPr>
        <w:tc>
          <w:tcPr>
            <w:cnfStyle w:val="001000000000" w:firstRow="0" w:lastRow="0" w:firstColumn="1" w:lastColumn="0" w:oddVBand="0" w:evenVBand="0" w:oddHBand="0" w:evenHBand="0" w:firstRowFirstColumn="0" w:firstRowLastColumn="0" w:lastRowFirstColumn="0" w:lastRowLastColumn="0"/>
            <w:tcW w:w="3261" w:type="dxa"/>
          </w:tcPr>
          <w:p w14:paraId="733EDDBE" w14:textId="77777777" w:rsidR="00B53F90" w:rsidRPr="001257E7" w:rsidRDefault="00B53F90" w:rsidP="001257E7">
            <w:pPr>
              <w:tabs>
                <w:tab w:val="left" w:pos="851"/>
              </w:tabs>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Room Usage Fee</w:t>
            </w:r>
          </w:p>
        </w:tc>
        <w:tc>
          <w:tcPr>
            <w:tcW w:w="2871" w:type="dxa"/>
          </w:tcPr>
          <w:p w14:paraId="4DCDBEC7"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2,125,875.00</w:t>
            </w:r>
          </w:p>
        </w:tc>
        <w:tc>
          <w:tcPr>
            <w:tcW w:w="3153" w:type="dxa"/>
          </w:tcPr>
          <w:p w14:paraId="691CC2C4"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1,807,539.57</w:t>
            </w:r>
          </w:p>
        </w:tc>
      </w:tr>
      <w:tr w:rsidR="00B53F90" w:rsidRPr="001257E7" w14:paraId="3D87DBB6" w14:textId="77777777" w:rsidTr="00B53F9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261" w:type="dxa"/>
          </w:tcPr>
          <w:p w14:paraId="3F4D574C" w14:textId="77777777" w:rsidR="00B53F90" w:rsidRPr="001257E7" w:rsidRDefault="00B53F90" w:rsidP="001257E7">
            <w:pPr>
              <w:tabs>
                <w:tab w:val="left" w:pos="851"/>
              </w:tabs>
              <w:rPr>
                <w:rFonts w:ascii="Times New Roman" w:hAnsi="Times New Roman" w:cs="Times New Roman"/>
                <w:sz w:val="22"/>
                <w:szCs w:val="22"/>
                <w:lang w:val="en-US"/>
              </w:rPr>
            </w:pPr>
            <w:r w:rsidRPr="001257E7">
              <w:rPr>
                <w:rFonts w:ascii="Times New Roman" w:hAnsi="Times New Roman" w:cs="Times New Roman"/>
                <w:color w:val="000000"/>
                <w:sz w:val="22"/>
                <w:szCs w:val="22"/>
                <w:lang w:val="en"/>
              </w:rPr>
              <w:t>Laboratory Costs</w:t>
            </w:r>
          </w:p>
        </w:tc>
        <w:tc>
          <w:tcPr>
            <w:tcW w:w="2871" w:type="dxa"/>
          </w:tcPr>
          <w:p w14:paraId="151AD348"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3,232,347.00</w:t>
            </w:r>
          </w:p>
        </w:tc>
        <w:tc>
          <w:tcPr>
            <w:tcW w:w="3153" w:type="dxa"/>
          </w:tcPr>
          <w:p w14:paraId="41282E5F"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2,804,165.47</w:t>
            </w:r>
          </w:p>
        </w:tc>
      </w:tr>
      <w:tr w:rsidR="00B53F90" w:rsidRPr="001257E7" w14:paraId="7676D0E4" w14:textId="77777777" w:rsidTr="00B53F90">
        <w:trPr>
          <w:trHeight w:val="374"/>
        </w:trPr>
        <w:tc>
          <w:tcPr>
            <w:cnfStyle w:val="001000000000" w:firstRow="0" w:lastRow="0" w:firstColumn="1" w:lastColumn="0" w:oddVBand="0" w:evenVBand="0" w:oddHBand="0" w:evenHBand="0" w:firstRowFirstColumn="0" w:firstRowLastColumn="0" w:lastRowFirstColumn="0" w:lastRowLastColumn="0"/>
            <w:tcW w:w="3261" w:type="dxa"/>
          </w:tcPr>
          <w:p w14:paraId="2004AFDC" w14:textId="77777777" w:rsidR="00B53F90" w:rsidRPr="001257E7" w:rsidRDefault="00B53F90" w:rsidP="001257E7">
            <w:pPr>
              <w:tabs>
                <w:tab w:val="left" w:pos="851"/>
              </w:tabs>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External Lab Fees</w:t>
            </w:r>
          </w:p>
        </w:tc>
        <w:tc>
          <w:tcPr>
            <w:tcW w:w="2871" w:type="dxa"/>
          </w:tcPr>
          <w:p w14:paraId="6EDB3D1F"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13,432,428.89</w:t>
            </w:r>
          </w:p>
        </w:tc>
        <w:tc>
          <w:tcPr>
            <w:tcW w:w="3153" w:type="dxa"/>
          </w:tcPr>
          <w:p w14:paraId="6BC4C2EC"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8,030,396.36</w:t>
            </w:r>
          </w:p>
        </w:tc>
      </w:tr>
      <w:tr w:rsidR="00B53F90" w:rsidRPr="001257E7" w14:paraId="20BFCF0C" w14:textId="77777777" w:rsidTr="00B53F90">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3261" w:type="dxa"/>
          </w:tcPr>
          <w:p w14:paraId="4738B017" w14:textId="339359D8" w:rsidR="00B53F90" w:rsidRPr="001257E7" w:rsidRDefault="00B53F90" w:rsidP="001257E7">
            <w:pPr>
              <w:tabs>
                <w:tab w:val="left" w:pos="851"/>
              </w:tabs>
              <w:rPr>
                <w:rFonts w:ascii="Times New Roman" w:hAnsi="Times New Roman" w:cs="Times New Roman"/>
                <w:sz w:val="22"/>
                <w:szCs w:val="22"/>
                <w:lang w:val="en-US"/>
              </w:rPr>
            </w:pPr>
            <w:r w:rsidRPr="001257E7">
              <w:rPr>
                <w:rFonts w:ascii="Times New Roman" w:hAnsi="Times New Roman" w:cs="Times New Roman"/>
                <w:color w:val="000000"/>
                <w:sz w:val="22"/>
                <w:szCs w:val="22"/>
                <w:lang w:val="en"/>
              </w:rPr>
              <w:t>Covid-19 Measures Cost</w:t>
            </w:r>
          </w:p>
        </w:tc>
        <w:tc>
          <w:tcPr>
            <w:tcW w:w="2871" w:type="dxa"/>
          </w:tcPr>
          <w:p w14:paraId="64C84688"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19,379,612.00</w:t>
            </w:r>
          </w:p>
        </w:tc>
        <w:tc>
          <w:tcPr>
            <w:tcW w:w="3153" w:type="dxa"/>
          </w:tcPr>
          <w:p w14:paraId="7246C9FC"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13,853,349.79</w:t>
            </w:r>
          </w:p>
        </w:tc>
      </w:tr>
      <w:tr w:rsidR="00B53F90" w:rsidRPr="001257E7" w14:paraId="2EC52E64" w14:textId="77777777" w:rsidTr="00B53F90">
        <w:trPr>
          <w:trHeight w:val="72"/>
        </w:trPr>
        <w:tc>
          <w:tcPr>
            <w:cnfStyle w:val="001000000000" w:firstRow="0" w:lastRow="0" w:firstColumn="1" w:lastColumn="0" w:oddVBand="0" w:evenVBand="0" w:oddHBand="0" w:evenHBand="0" w:firstRowFirstColumn="0" w:firstRowLastColumn="0" w:lastRowFirstColumn="0" w:lastRowLastColumn="0"/>
            <w:tcW w:w="3261" w:type="dxa"/>
          </w:tcPr>
          <w:p w14:paraId="7976B4A1" w14:textId="77777777" w:rsidR="00B53F90" w:rsidRPr="001257E7" w:rsidRDefault="00B53F90" w:rsidP="001257E7">
            <w:pPr>
              <w:tabs>
                <w:tab w:val="left" w:pos="851"/>
              </w:tabs>
              <w:rPr>
                <w:rFonts w:ascii="Times New Roman" w:hAnsi="Times New Roman" w:cs="Times New Roman"/>
                <w:sz w:val="22"/>
                <w:szCs w:val="22"/>
                <w:lang w:val="en-US"/>
              </w:rPr>
            </w:pPr>
            <w:r w:rsidRPr="001257E7">
              <w:rPr>
                <w:rFonts w:ascii="Times New Roman" w:hAnsi="Times New Roman" w:cs="Times New Roman"/>
                <w:color w:val="000000"/>
                <w:sz w:val="22"/>
                <w:szCs w:val="22"/>
                <w:lang w:val="en"/>
              </w:rPr>
              <w:t>Cost of Nurse Actions</w:t>
            </w:r>
          </w:p>
        </w:tc>
        <w:tc>
          <w:tcPr>
            <w:tcW w:w="2871" w:type="dxa"/>
          </w:tcPr>
          <w:p w14:paraId="59FC8A4F"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3,113,287.77</w:t>
            </w:r>
          </w:p>
        </w:tc>
        <w:tc>
          <w:tcPr>
            <w:tcW w:w="3153" w:type="dxa"/>
          </w:tcPr>
          <w:p w14:paraId="4852E26C" w14:textId="77777777" w:rsidR="00B53F90" w:rsidRPr="001257E7" w:rsidRDefault="00B53F90" w:rsidP="001257E7">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4,467,763.89</w:t>
            </w:r>
          </w:p>
        </w:tc>
      </w:tr>
      <w:tr w:rsidR="00B53F90" w:rsidRPr="001257E7" w14:paraId="3D219EEE" w14:textId="77777777" w:rsidTr="00B53F9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261" w:type="dxa"/>
          </w:tcPr>
          <w:p w14:paraId="5D916E0B" w14:textId="77777777" w:rsidR="00B53F90" w:rsidRPr="001257E7" w:rsidRDefault="00B53F90" w:rsidP="001257E7">
            <w:pPr>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Administration Fee</w:t>
            </w:r>
          </w:p>
        </w:tc>
        <w:tc>
          <w:tcPr>
            <w:tcW w:w="2871" w:type="dxa"/>
          </w:tcPr>
          <w:p w14:paraId="2F379349" w14:textId="77777777" w:rsidR="00B53F90" w:rsidRPr="001257E7" w:rsidRDefault="00B53F90" w:rsidP="001257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23,750.00</w:t>
            </w:r>
          </w:p>
        </w:tc>
        <w:tc>
          <w:tcPr>
            <w:tcW w:w="3153" w:type="dxa"/>
          </w:tcPr>
          <w:p w14:paraId="021A1198" w14:textId="77777777" w:rsidR="00B53F90" w:rsidRPr="001257E7" w:rsidRDefault="00B53F90" w:rsidP="001257E7">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20,935.25</w:t>
            </w:r>
          </w:p>
        </w:tc>
      </w:tr>
      <w:tr w:rsidR="00B53F90" w:rsidRPr="001257E7" w14:paraId="49756347" w14:textId="77777777" w:rsidTr="00B53F90">
        <w:trPr>
          <w:trHeight w:val="72"/>
        </w:trPr>
        <w:tc>
          <w:tcPr>
            <w:cnfStyle w:val="001000000000" w:firstRow="0" w:lastRow="0" w:firstColumn="1" w:lastColumn="0" w:oddVBand="0" w:evenVBand="0" w:oddHBand="0" w:evenHBand="0" w:firstRowFirstColumn="0" w:firstRowLastColumn="0" w:lastRowFirstColumn="0" w:lastRowLastColumn="0"/>
            <w:tcW w:w="3261" w:type="dxa"/>
          </w:tcPr>
          <w:p w14:paraId="4DDAD878" w14:textId="77777777" w:rsidR="00B53F90" w:rsidRPr="001257E7" w:rsidRDefault="00B53F90" w:rsidP="001257E7">
            <w:pPr>
              <w:tabs>
                <w:tab w:val="left" w:pos="851"/>
              </w:tabs>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Total Cost</w:t>
            </w:r>
          </w:p>
        </w:tc>
        <w:tc>
          <w:tcPr>
            <w:tcW w:w="2871" w:type="dxa"/>
          </w:tcPr>
          <w:p w14:paraId="5FAF536D" w14:textId="77777777" w:rsidR="00B53F90" w:rsidRPr="001257E7" w:rsidRDefault="00B53F90" w:rsidP="001257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2"/>
                <w:szCs w:val="22"/>
              </w:rPr>
            </w:pPr>
            <w:r w:rsidRPr="001257E7">
              <w:rPr>
                <w:rFonts w:ascii="Times New Roman" w:hAnsi="Times New Roman" w:cs="Times New Roman"/>
                <w:b/>
                <w:bCs/>
                <w:color w:val="000000"/>
                <w:sz w:val="22"/>
                <w:szCs w:val="22"/>
                <w:lang w:val="en"/>
              </w:rPr>
              <w:t>IDR 43,480,136.08</w:t>
            </w:r>
          </w:p>
        </w:tc>
        <w:tc>
          <w:tcPr>
            <w:tcW w:w="3153" w:type="dxa"/>
          </w:tcPr>
          <w:p w14:paraId="642062A6" w14:textId="77777777" w:rsidR="00B53F90" w:rsidRPr="001257E7" w:rsidRDefault="00B53F90" w:rsidP="001257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2"/>
                <w:szCs w:val="22"/>
              </w:rPr>
            </w:pPr>
            <w:r w:rsidRPr="001257E7">
              <w:rPr>
                <w:rFonts w:ascii="Times New Roman" w:hAnsi="Times New Roman" w:cs="Times New Roman"/>
                <w:b/>
                <w:bCs/>
                <w:color w:val="000000"/>
                <w:sz w:val="22"/>
                <w:szCs w:val="22"/>
                <w:lang w:val="en"/>
              </w:rPr>
              <w:t>IDR 31,647,150.33</w:t>
            </w:r>
          </w:p>
        </w:tc>
      </w:tr>
    </w:tbl>
    <w:p w14:paraId="1451875F" w14:textId="0239D949" w:rsidR="00D603DB" w:rsidRPr="001257E7" w:rsidRDefault="00D603DB" w:rsidP="001257E7">
      <w:pPr>
        <w:pStyle w:val="NormalWeb"/>
        <w:spacing w:before="0" w:beforeAutospacing="0" w:after="0" w:afterAutospacing="0"/>
        <w:ind w:firstLine="709"/>
        <w:jc w:val="both"/>
        <w:rPr>
          <w:sz w:val="22"/>
          <w:szCs w:val="22"/>
        </w:rPr>
      </w:pPr>
    </w:p>
    <w:p w14:paraId="00517F5E" w14:textId="0DB3B4EC" w:rsidR="00B53F90" w:rsidRPr="001257E7" w:rsidRDefault="004B609E" w:rsidP="001257E7">
      <w:pPr>
        <w:pStyle w:val="NormalWeb"/>
        <w:numPr>
          <w:ilvl w:val="1"/>
          <w:numId w:val="2"/>
        </w:numPr>
        <w:spacing w:before="0" w:beforeAutospacing="0" w:after="0" w:afterAutospacing="0"/>
        <w:jc w:val="both"/>
        <w:rPr>
          <w:b/>
          <w:bCs/>
          <w:sz w:val="22"/>
          <w:szCs w:val="22"/>
        </w:rPr>
      </w:pPr>
      <w:r w:rsidRPr="001257E7">
        <w:rPr>
          <w:b/>
          <w:bCs/>
          <w:sz w:val="22"/>
          <w:szCs w:val="22"/>
          <w:lang w:val="en"/>
        </w:rPr>
        <w:t>Direct Medical Costs</w:t>
      </w:r>
    </w:p>
    <w:p w14:paraId="0B31A852" w14:textId="333086CE" w:rsidR="0003400E" w:rsidRPr="00F72CB5" w:rsidRDefault="004B609E" w:rsidP="00F72CB5">
      <w:pPr>
        <w:pStyle w:val="NormalWeb"/>
        <w:spacing w:before="0" w:beforeAutospacing="0" w:after="0" w:afterAutospacing="0"/>
        <w:ind w:firstLine="709"/>
        <w:jc w:val="both"/>
        <w:rPr>
          <w:sz w:val="22"/>
          <w:szCs w:val="22"/>
          <w:vertAlign w:val="superscript"/>
        </w:rPr>
      </w:pPr>
      <w:r w:rsidRPr="001257E7">
        <w:rPr>
          <w:sz w:val="22"/>
          <w:szCs w:val="22"/>
          <w:lang w:val="en"/>
        </w:rPr>
        <w:t>The costs in this study used</w:t>
      </w:r>
      <w:r w:rsidRPr="001257E7">
        <w:rPr>
          <w:i/>
          <w:iCs/>
          <w:sz w:val="22"/>
          <w:szCs w:val="22"/>
          <w:lang w:val="en"/>
        </w:rPr>
        <w:t xml:space="preserve"> direct medical</w:t>
      </w:r>
      <w:r w:rsidR="001257E7">
        <w:rPr>
          <w:i/>
          <w:iCs/>
          <w:sz w:val="22"/>
          <w:szCs w:val="22"/>
          <w:lang w:val="en"/>
        </w:rPr>
        <w:t xml:space="preserve"> </w:t>
      </w:r>
      <w:r w:rsidRPr="001257E7">
        <w:rPr>
          <w:sz w:val="22"/>
          <w:szCs w:val="22"/>
          <w:lang w:val="en"/>
        </w:rPr>
        <w:t>costs</w:t>
      </w:r>
      <w:r w:rsidR="00F72CB5" w:rsidRPr="00F72CB5">
        <w:rPr>
          <w:sz w:val="22"/>
          <w:szCs w:val="22"/>
          <w:lang w:val="en"/>
        </w:rPr>
        <w:t>, including the use of antiviral drug, room usage</w:t>
      </w:r>
      <w:r w:rsidRPr="001257E7">
        <w:rPr>
          <w:sz w:val="22"/>
          <w:szCs w:val="22"/>
          <w:lang w:val="en"/>
        </w:rPr>
        <w:t>, laboratory costs,</w:t>
      </w:r>
      <w:r w:rsidR="001257E7">
        <w:rPr>
          <w:sz w:val="22"/>
          <w:szCs w:val="22"/>
          <w:lang w:val="en"/>
        </w:rPr>
        <w:t xml:space="preserve"> </w:t>
      </w:r>
      <w:r w:rsidRPr="001257E7">
        <w:rPr>
          <w:sz w:val="22"/>
          <w:szCs w:val="22"/>
          <w:lang w:val="en"/>
        </w:rPr>
        <w:t>external lab costs, COVID-19 action costs,</w:t>
      </w:r>
      <w:r w:rsidR="001257E7">
        <w:rPr>
          <w:sz w:val="22"/>
          <w:szCs w:val="22"/>
          <w:lang w:val="en"/>
        </w:rPr>
        <w:t xml:space="preserve"> </w:t>
      </w:r>
      <w:r w:rsidRPr="001257E7">
        <w:rPr>
          <w:sz w:val="22"/>
          <w:szCs w:val="22"/>
          <w:lang w:val="en"/>
        </w:rPr>
        <w:t>nurse action fees and</w:t>
      </w:r>
      <w:r w:rsidR="001257E7">
        <w:rPr>
          <w:sz w:val="22"/>
          <w:szCs w:val="22"/>
          <w:lang w:val="en"/>
        </w:rPr>
        <w:t xml:space="preserve"> </w:t>
      </w:r>
      <w:r w:rsidRPr="001257E7">
        <w:rPr>
          <w:sz w:val="22"/>
          <w:szCs w:val="22"/>
          <w:lang w:val="en"/>
        </w:rPr>
        <w:t>administrative</w:t>
      </w:r>
      <w:r w:rsidR="001A731F" w:rsidRPr="001257E7">
        <w:rPr>
          <w:sz w:val="22"/>
          <w:szCs w:val="22"/>
          <w:lang w:val="en"/>
        </w:rPr>
        <w:t xml:space="preserve"> costs</w:t>
      </w:r>
      <w:r w:rsidR="001257E7">
        <w:rPr>
          <w:sz w:val="22"/>
          <w:szCs w:val="22"/>
          <w:lang w:val="en"/>
        </w:rPr>
        <w:t>.</w:t>
      </w:r>
      <w:r w:rsidRPr="001257E7">
        <w:rPr>
          <w:sz w:val="22"/>
          <w:szCs w:val="22"/>
          <w:lang w:val="en"/>
        </w:rPr>
        <w:t xml:space="preserve"> The average total cost of direct medical treatment for COVID-19 patients during treatment at a hospital using the drug Favipiravir is Rp.</w:t>
      </w:r>
      <w:r w:rsidR="001257E7">
        <w:rPr>
          <w:sz w:val="22"/>
          <w:szCs w:val="22"/>
          <w:lang w:val="en"/>
        </w:rPr>
        <w:t xml:space="preserve"> </w:t>
      </w:r>
      <w:r w:rsidRPr="001257E7">
        <w:rPr>
          <w:color w:val="000000"/>
          <w:sz w:val="22"/>
          <w:szCs w:val="22"/>
          <w:lang w:val="en"/>
        </w:rPr>
        <w:t>31,647,150.33</w:t>
      </w:r>
      <w:r w:rsidRPr="001257E7">
        <w:rPr>
          <w:sz w:val="22"/>
          <w:szCs w:val="22"/>
          <w:lang w:val="en"/>
        </w:rPr>
        <w:t xml:space="preserve"> / patient and patients taking the drug Remdesivir is Rp.</w:t>
      </w:r>
      <w:r w:rsidR="001257E7">
        <w:rPr>
          <w:sz w:val="22"/>
          <w:szCs w:val="22"/>
          <w:lang w:val="en"/>
        </w:rPr>
        <w:t xml:space="preserve"> </w:t>
      </w:r>
      <w:r w:rsidRPr="001257E7">
        <w:rPr>
          <w:color w:val="000000"/>
          <w:sz w:val="22"/>
          <w:szCs w:val="22"/>
          <w:lang w:val="en"/>
        </w:rPr>
        <w:t>43,480,136.08</w:t>
      </w:r>
      <w:r w:rsidRPr="001257E7">
        <w:rPr>
          <w:sz w:val="22"/>
          <w:szCs w:val="22"/>
          <w:lang w:val="en"/>
        </w:rPr>
        <w:t>/patient (Table 2). From table 2 it can be seen that the highest average amount of direct medical costs is the remdesivir group, this is in accordance with the research conducted</w:t>
      </w:r>
      <w:r w:rsidR="00626E92" w:rsidRPr="001257E7">
        <w:rPr>
          <w:i/>
          <w:iCs/>
          <w:sz w:val="22"/>
          <w:szCs w:val="22"/>
          <w:lang w:val="en"/>
        </w:rPr>
        <w:t xml:space="preserve"> by Leslie et al</w:t>
      </w:r>
      <w:r w:rsidR="001A731F" w:rsidRPr="001257E7">
        <w:rPr>
          <w:sz w:val="22"/>
          <w:szCs w:val="22"/>
          <w:lang w:val="en"/>
        </w:rPr>
        <w:t xml:space="preserve"> said that</w:t>
      </w:r>
      <w:r w:rsidRPr="001257E7">
        <w:rPr>
          <w:sz w:val="22"/>
          <w:szCs w:val="22"/>
          <w:lang w:val="en"/>
        </w:rPr>
        <w:t xml:space="preserve"> the</w:t>
      </w:r>
      <w:r w:rsidR="001257E7">
        <w:rPr>
          <w:sz w:val="22"/>
          <w:szCs w:val="22"/>
          <w:lang w:val="en"/>
        </w:rPr>
        <w:t xml:space="preserve"> </w:t>
      </w:r>
      <w:r w:rsidR="001A731F" w:rsidRPr="001257E7">
        <w:rPr>
          <w:sz w:val="22"/>
          <w:szCs w:val="22"/>
          <w:lang w:val="en"/>
        </w:rPr>
        <w:t>highest total cost</w:t>
      </w:r>
      <w:r w:rsidR="001257E7">
        <w:rPr>
          <w:sz w:val="22"/>
          <w:szCs w:val="22"/>
          <w:lang w:val="en"/>
        </w:rPr>
        <w:t xml:space="preserve"> </w:t>
      </w:r>
      <w:r w:rsidR="001A731F" w:rsidRPr="001257E7">
        <w:rPr>
          <w:sz w:val="22"/>
          <w:szCs w:val="22"/>
          <w:lang w:val="en"/>
        </w:rPr>
        <w:t>is</w:t>
      </w:r>
      <w:r w:rsidRPr="001257E7">
        <w:rPr>
          <w:sz w:val="22"/>
          <w:szCs w:val="22"/>
          <w:lang w:val="en"/>
        </w:rPr>
        <w:t xml:space="preserve"> the</w:t>
      </w:r>
      <w:r w:rsidR="001257E7">
        <w:rPr>
          <w:sz w:val="22"/>
          <w:szCs w:val="22"/>
          <w:lang w:val="en"/>
        </w:rPr>
        <w:t xml:space="preserve"> </w:t>
      </w:r>
      <w:r w:rsidR="001A731F" w:rsidRPr="001257E7">
        <w:rPr>
          <w:sz w:val="22"/>
          <w:szCs w:val="22"/>
          <w:lang w:val="en"/>
        </w:rPr>
        <w:t>remdesivir</w:t>
      </w:r>
      <w:r w:rsidR="001257E7">
        <w:rPr>
          <w:sz w:val="22"/>
          <w:szCs w:val="22"/>
          <w:lang w:val="en"/>
        </w:rPr>
        <w:t xml:space="preserve"> </w:t>
      </w:r>
      <w:r w:rsidR="001A731F" w:rsidRPr="001257E7">
        <w:rPr>
          <w:sz w:val="22"/>
          <w:szCs w:val="22"/>
          <w:lang w:val="en"/>
        </w:rPr>
        <w:t>group</w:t>
      </w:r>
      <w:r w:rsidRPr="001257E7">
        <w:rPr>
          <w:sz w:val="22"/>
          <w:szCs w:val="22"/>
          <w:lang w:val="en"/>
        </w:rPr>
        <w:t xml:space="preserve"> </w:t>
      </w:r>
      <w:r w:rsidR="001A731F" w:rsidRPr="001257E7">
        <w:rPr>
          <w:sz w:val="22"/>
          <w:szCs w:val="22"/>
          <w:lang w:val="en"/>
        </w:rPr>
        <w:t>compared to standard nurse</w:t>
      </w:r>
      <w:r w:rsidR="001257E7">
        <w:rPr>
          <w:sz w:val="22"/>
          <w:szCs w:val="22"/>
          <w:lang w:val="en"/>
        </w:rPr>
        <w:t xml:space="preserve"> </w:t>
      </w:r>
      <w:r w:rsidR="001A731F" w:rsidRPr="001257E7">
        <w:rPr>
          <w:sz w:val="22"/>
          <w:szCs w:val="22"/>
          <w:lang w:val="en"/>
        </w:rPr>
        <w:t>therapy in</w:t>
      </w:r>
      <w:r w:rsidR="001257E7">
        <w:rPr>
          <w:sz w:val="22"/>
          <w:szCs w:val="22"/>
          <w:lang w:val="en"/>
        </w:rPr>
        <w:t xml:space="preserve"> </w:t>
      </w:r>
      <w:r w:rsidR="001A731F" w:rsidRPr="001257E7">
        <w:rPr>
          <w:sz w:val="22"/>
          <w:szCs w:val="22"/>
          <w:lang w:val="en"/>
        </w:rPr>
        <w:t>this</w:t>
      </w:r>
      <w:r w:rsidRPr="001257E7">
        <w:rPr>
          <w:sz w:val="22"/>
          <w:szCs w:val="22"/>
          <w:lang w:val="en"/>
        </w:rPr>
        <w:t xml:space="preserve"> </w:t>
      </w:r>
      <w:r w:rsidR="001A731F" w:rsidRPr="001257E7">
        <w:rPr>
          <w:sz w:val="22"/>
          <w:szCs w:val="22"/>
          <w:lang w:val="en"/>
        </w:rPr>
        <w:t>case the use of antibiotics and other antivirals.</w:t>
      </w:r>
      <w:r w:rsidRPr="001257E7">
        <w:rPr>
          <w:sz w:val="22"/>
          <w:szCs w:val="22"/>
          <w:lang w:val="en"/>
        </w:rPr>
        <w:t xml:space="preserve"> </w:t>
      </w:r>
      <w:r w:rsidR="007810EE" w:rsidRPr="001257E7">
        <w:rPr>
          <w:sz w:val="22"/>
          <w:szCs w:val="22"/>
          <w:vertAlign w:val="superscript"/>
          <w:lang w:val="en"/>
        </w:rPr>
        <w:t>1</w:t>
      </w:r>
      <w:r w:rsidR="00626E92" w:rsidRPr="001257E7">
        <w:rPr>
          <w:sz w:val="22"/>
          <w:szCs w:val="22"/>
          <w:vertAlign w:val="superscript"/>
          <w:lang w:val="en"/>
        </w:rPr>
        <w:t>2</w:t>
      </w:r>
    </w:p>
    <w:p w14:paraId="7498498B" w14:textId="77777777" w:rsidR="0003400E" w:rsidRPr="001257E7" w:rsidRDefault="0003400E" w:rsidP="001257E7">
      <w:pPr>
        <w:pStyle w:val="NormalWeb"/>
        <w:spacing w:before="0" w:beforeAutospacing="0" w:after="0" w:afterAutospacing="0"/>
        <w:ind w:firstLine="709"/>
        <w:jc w:val="both"/>
        <w:rPr>
          <w:sz w:val="22"/>
          <w:szCs w:val="22"/>
        </w:rPr>
      </w:pPr>
    </w:p>
    <w:p w14:paraId="6B93F4E8" w14:textId="5EDCDC31" w:rsidR="001A731F" w:rsidRPr="001257E7" w:rsidRDefault="001A731F" w:rsidP="001257E7">
      <w:pPr>
        <w:pStyle w:val="NormalWeb"/>
        <w:numPr>
          <w:ilvl w:val="1"/>
          <w:numId w:val="2"/>
        </w:numPr>
        <w:spacing w:before="0" w:beforeAutospacing="0" w:after="0" w:afterAutospacing="0"/>
        <w:jc w:val="both"/>
        <w:rPr>
          <w:b/>
          <w:bCs/>
          <w:sz w:val="22"/>
          <w:szCs w:val="22"/>
        </w:rPr>
      </w:pPr>
      <w:r w:rsidRPr="001257E7">
        <w:rPr>
          <w:b/>
          <w:bCs/>
          <w:sz w:val="22"/>
          <w:szCs w:val="22"/>
          <w:lang w:val="en"/>
        </w:rPr>
        <w:t>The effectiveness of treatment</w:t>
      </w:r>
    </w:p>
    <w:p w14:paraId="124C2F50" w14:textId="7B9DE844" w:rsidR="001A731F" w:rsidRPr="001257E7" w:rsidRDefault="001A731F" w:rsidP="001257E7">
      <w:pPr>
        <w:ind w:firstLine="360"/>
        <w:jc w:val="both"/>
        <w:rPr>
          <w:rFonts w:ascii="Times New Roman" w:hAnsi="Times New Roman" w:cs="Times New Roman"/>
          <w:sz w:val="22"/>
          <w:szCs w:val="22"/>
        </w:rPr>
      </w:pPr>
      <w:r w:rsidRPr="001257E7">
        <w:rPr>
          <w:rFonts w:ascii="Times New Roman" w:hAnsi="Times New Roman" w:cs="Times New Roman"/>
          <w:sz w:val="22"/>
          <w:szCs w:val="22"/>
          <w:lang w:val="en"/>
        </w:rPr>
        <w:t xml:space="preserve">In this study, the effectiveness of treatment was assessed based on </w:t>
      </w:r>
      <w:r w:rsidR="00F72CB5">
        <w:rPr>
          <w:rFonts w:ascii="Times New Roman" w:hAnsi="Times New Roman" w:cs="Times New Roman"/>
          <w:sz w:val="22"/>
          <w:szCs w:val="22"/>
          <w:lang w:val="en"/>
        </w:rPr>
        <w:t>comparing</w:t>
      </w:r>
      <w:r w:rsidRPr="001257E7">
        <w:rPr>
          <w:rFonts w:ascii="Times New Roman" w:hAnsi="Times New Roman" w:cs="Times New Roman"/>
          <w:sz w:val="22"/>
          <w:szCs w:val="22"/>
          <w:lang w:val="en"/>
        </w:rPr>
        <w:t xml:space="preserve"> the length of treatment and the disappearance of COVID-19 symptoms in patients taking Favipiravir with patients taking Remdesivir. The average length of treatment of patients taking Favipiravir was</w:t>
      </w:r>
      <w:r w:rsidRPr="001257E7">
        <w:rPr>
          <w:rFonts w:ascii="Times New Roman" w:hAnsi="Times New Roman" w:cs="Times New Roman"/>
          <w:color w:val="000000"/>
          <w:sz w:val="22"/>
          <w:szCs w:val="22"/>
          <w:lang w:val="en"/>
        </w:rPr>
        <w:t xml:space="preserve"> 11.22</w:t>
      </w:r>
      <w:r w:rsidRPr="001257E7">
        <w:rPr>
          <w:rFonts w:ascii="Times New Roman" w:hAnsi="Times New Roman" w:cs="Times New Roman"/>
          <w:sz w:val="22"/>
          <w:szCs w:val="22"/>
          <w:lang w:val="en"/>
        </w:rPr>
        <w:t xml:space="preserve"> days</w:t>
      </w:r>
      <w:r w:rsidR="001257E7">
        <w:rPr>
          <w:rFonts w:ascii="Times New Roman" w:hAnsi="Times New Roman" w:cs="Times New Roman"/>
          <w:sz w:val="22"/>
          <w:szCs w:val="22"/>
          <w:lang w:val="en"/>
        </w:rPr>
        <w:t xml:space="preserve"> </w:t>
      </w:r>
      <w:r w:rsidRPr="001257E7">
        <w:rPr>
          <w:rFonts w:ascii="Times New Roman" w:hAnsi="Times New Roman" w:cs="Times New Roman"/>
          <w:sz w:val="22"/>
          <w:szCs w:val="22"/>
          <w:lang w:val="en"/>
        </w:rPr>
        <w:t>and patients taking Remdesivir was</w:t>
      </w:r>
      <w:r w:rsidRPr="001257E7">
        <w:rPr>
          <w:rFonts w:ascii="Times New Roman" w:hAnsi="Times New Roman" w:cs="Times New Roman"/>
          <w:color w:val="000000"/>
          <w:sz w:val="22"/>
          <w:szCs w:val="22"/>
          <w:lang w:val="en"/>
        </w:rPr>
        <w:t xml:space="preserve"> 13.13 </w:t>
      </w:r>
      <w:r w:rsidRPr="001257E7">
        <w:rPr>
          <w:rFonts w:ascii="Times New Roman" w:hAnsi="Times New Roman" w:cs="Times New Roman"/>
          <w:sz w:val="22"/>
          <w:szCs w:val="22"/>
          <w:lang w:val="en"/>
        </w:rPr>
        <w:t>days. While the duration of disappearance of COVID-19 symptoms on average patients who took Favipiravir was 4.88 days and patients who took Remdesivir were</w:t>
      </w:r>
      <w:r w:rsidRPr="001257E7">
        <w:rPr>
          <w:rFonts w:ascii="Times New Roman" w:hAnsi="Times New Roman" w:cs="Times New Roman"/>
          <w:color w:val="000000"/>
          <w:sz w:val="22"/>
          <w:szCs w:val="22"/>
          <w:lang w:val="en"/>
        </w:rPr>
        <w:t xml:space="preserve"> 5.22 </w:t>
      </w:r>
      <w:r w:rsidRPr="001257E7">
        <w:rPr>
          <w:rFonts w:ascii="Times New Roman" w:hAnsi="Times New Roman" w:cs="Times New Roman"/>
          <w:sz w:val="22"/>
          <w:szCs w:val="22"/>
          <w:lang w:val="en"/>
        </w:rPr>
        <w:t>days,</w:t>
      </w:r>
    </w:p>
    <w:p w14:paraId="4F4A8320" w14:textId="7C8FAEA9" w:rsidR="001A731F" w:rsidRPr="001257E7" w:rsidRDefault="00F72CB5" w:rsidP="001257E7">
      <w:pPr>
        <w:ind w:firstLine="720"/>
        <w:jc w:val="both"/>
        <w:rPr>
          <w:rFonts w:ascii="Times New Roman" w:hAnsi="Times New Roman" w:cs="Times New Roman"/>
          <w:sz w:val="22"/>
          <w:szCs w:val="22"/>
          <w:vertAlign w:val="superscript"/>
        </w:rPr>
      </w:pPr>
      <w:r>
        <w:rPr>
          <w:rFonts w:ascii="Times New Roman" w:hAnsi="Times New Roman" w:cs="Times New Roman"/>
          <w:sz w:val="22"/>
          <w:szCs w:val="22"/>
          <w:lang w:val="en"/>
        </w:rPr>
        <w:t>According</w:t>
      </w:r>
      <w:r w:rsidR="00720D84" w:rsidRPr="001257E7">
        <w:rPr>
          <w:rFonts w:ascii="Times New Roman" w:hAnsi="Times New Roman" w:cs="Times New Roman"/>
          <w:sz w:val="22"/>
          <w:szCs w:val="22"/>
          <w:lang w:val="en"/>
        </w:rPr>
        <w:t xml:space="preserve"> to research Lam et al said lama treatment average patient for 10 days plus at least 3 days free of COVID-19 symptoms such as fever and other respiratory disorders. </w:t>
      </w:r>
      <w:r w:rsidR="007810EE" w:rsidRPr="001257E7">
        <w:rPr>
          <w:rFonts w:ascii="Times New Roman" w:hAnsi="Times New Roman" w:cs="Times New Roman"/>
          <w:sz w:val="22"/>
          <w:szCs w:val="22"/>
          <w:vertAlign w:val="superscript"/>
          <w:lang w:val="en"/>
        </w:rPr>
        <w:t>1</w:t>
      </w:r>
      <w:r w:rsidR="00626E92" w:rsidRPr="001257E7">
        <w:rPr>
          <w:rFonts w:ascii="Times New Roman" w:hAnsi="Times New Roman" w:cs="Times New Roman"/>
          <w:sz w:val="22"/>
          <w:szCs w:val="22"/>
          <w:vertAlign w:val="superscript"/>
          <w:lang w:val="en"/>
        </w:rPr>
        <w:t>5</w:t>
      </w:r>
      <w:r w:rsidR="00720D84" w:rsidRPr="001257E7">
        <w:rPr>
          <w:rFonts w:ascii="Times New Roman" w:hAnsi="Times New Roman" w:cs="Times New Roman"/>
          <w:sz w:val="22"/>
          <w:szCs w:val="22"/>
          <w:lang w:val="en"/>
        </w:rPr>
        <w:t xml:space="preserve"> while the duration of disappearance of COVID symptoms is marked by the disappearance of common signs of COVID-19 including fever, dry cough, and weakness. Other complaints that </w:t>
      </w:r>
      <w:r>
        <w:rPr>
          <w:rFonts w:ascii="Times New Roman" w:hAnsi="Times New Roman" w:cs="Times New Roman"/>
          <w:sz w:val="22"/>
          <w:szCs w:val="22"/>
          <w:lang w:val="en"/>
        </w:rPr>
        <w:t>patients usually experience</w:t>
      </w:r>
      <w:r w:rsidR="00720D84" w:rsidRPr="001257E7">
        <w:rPr>
          <w:rFonts w:ascii="Times New Roman" w:hAnsi="Times New Roman" w:cs="Times New Roman"/>
          <w:sz w:val="22"/>
          <w:szCs w:val="22"/>
          <w:lang w:val="en"/>
        </w:rPr>
        <w:t xml:space="preserve"> include shortness of breath, sore throat, runny nose, reduced appetite, diarrhea, to reduced sensations of the sense of smell and sense of taste. </w:t>
      </w:r>
      <w:r w:rsidR="007810EE" w:rsidRPr="001257E7">
        <w:rPr>
          <w:rFonts w:ascii="Times New Roman" w:hAnsi="Times New Roman" w:cs="Times New Roman"/>
          <w:sz w:val="22"/>
          <w:szCs w:val="22"/>
          <w:vertAlign w:val="superscript"/>
          <w:lang w:val="en"/>
        </w:rPr>
        <w:t>1</w:t>
      </w:r>
      <w:r w:rsidR="00626E92" w:rsidRPr="001257E7">
        <w:rPr>
          <w:rFonts w:ascii="Times New Roman" w:hAnsi="Times New Roman" w:cs="Times New Roman"/>
          <w:sz w:val="22"/>
          <w:szCs w:val="22"/>
          <w:vertAlign w:val="superscript"/>
          <w:lang w:val="en"/>
        </w:rPr>
        <w:t>4</w:t>
      </w:r>
    </w:p>
    <w:p w14:paraId="6B5D4569" w14:textId="77777777" w:rsidR="0003400E" w:rsidRPr="001257E7" w:rsidRDefault="0003400E" w:rsidP="001257E7">
      <w:pPr>
        <w:ind w:firstLine="720"/>
        <w:jc w:val="both"/>
        <w:rPr>
          <w:rFonts w:ascii="Times New Roman" w:hAnsi="Times New Roman" w:cs="Times New Roman"/>
          <w:sz w:val="22"/>
          <w:szCs w:val="22"/>
        </w:rPr>
      </w:pPr>
    </w:p>
    <w:p w14:paraId="048F85EE" w14:textId="2600FC16" w:rsidR="002F2A0C" w:rsidRPr="001257E7" w:rsidRDefault="002F2A0C" w:rsidP="001257E7">
      <w:pPr>
        <w:pStyle w:val="DaftarParagraf"/>
        <w:numPr>
          <w:ilvl w:val="1"/>
          <w:numId w:val="2"/>
        </w:numPr>
        <w:jc w:val="both"/>
        <w:rPr>
          <w:rFonts w:ascii="Times New Roman" w:hAnsi="Times New Roman" w:cs="Times New Roman"/>
          <w:b/>
          <w:bCs/>
          <w:sz w:val="22"/>
          <w:szCs w:val="22"/>
        </w:rPr>
      </w:pPr>
      <w:r w:rsidRPr="001257E7">
        <w:rPr>
          <w:rFonts w:ascii="Times New Roman" w:hAnsi="Times New Roman" w:cs="Times New Roman"/>
          <w:b/>
          <w:bCs/>
          <w:sz w:val="22"/>
          <w:szCs w:val="22"/>
          <w:lang w:val="en"/>
        </w:rPr>
        <w:t xml:space="preserve"> ACER</w:t>
      </w:r>
      <w:r w:rsidRPr="001257E7">
        <w:rPr>
          <w:rFonts w:ascii="Times New Roman" w:hAnsi="Times New Roman" w:cs="Times New Roman"/>
          <w:sz w:val="22"/>
          <w:szCs w:val="22"/>
          <w:lang w:val="en"/>
        </w:rPr>
        <w:t xml:space="preserve"> Interpretation</w:t>
      </w:r>
    </w:p>
    <w:p w14:paraId="58037459" w14:textId="73E47D19" w:rsidR="00DC4C0A" w:rsidRPr="001257E7" w:rsidRDefault="002F2A0C" w:rsidP="001257E7">
      <w:pPr>
        <w:ind w:firstLine="720"/>
        <w:jc w:val="both"/>
        <w:rPr>
          <w:rFonts w:ascii="Times New Roman" w:hAnsi="Times New Roman" w:cs="Times New Roman"/>
          <w:sz w:val="22"/>
          <w:szCs w:val="22"/>
        </w:rPr>
      </w:pPr>
      <w:r w:rsidRPr="001257E7">
        <w:rPr>
          <w:rFonts w:ascii="Times New Roman" w:hAnsi="Times New Roman" w:cs="Times New Roman"/>
          <w:color w:val="000000"/>
          <w:sz w:val="22"/>
          <w:szCs w:val="22"/>
          <w:lang w:val="en"/>
        </w:rPr>
        <w:t xml:space="preserve">The calculation of the ACER value is used to determine the cost per day that </w:t>
      </w:r>
      <w:r w:rsidR="00F72CB5">
        <w:rPr>
          <w:rFonts w:ascii="Times New Roman" w:hAnsi="Times New Roman" w:cs="Times New Roman"/>
          <w:color w:val="000000"/>
          <w:sz w:val="22"/>
          <w:szCs w:val="22"/>
          <w:lang w:val="en"/>
        </w:rPr>
        <w:t>the patient must incur</w:t>
      </w:r>
      <w:r w:rsidRPr="001257E7">
        <w:rPr>
          <w:rFonts w:ascii="Times New Roman" w:hAnsi="Times New Roman" w:cs="Times New Roman"/>
          <w:color w:val="000000"/>
          <w:sz w:val="22"/>
          <w:szCs w:val="22"/>
          <w:lang w:val="en"/>
        </w:rPr>
        <w:t xml:space="preserve"> compared to its effectiveness. Effectiveness in this study was measured from the average length of hospitalization and the time of</w:t>
      </w:r>
      <w:r w:rsidRPr="001257E7">
        <w:rPr>
          <w:rFonts w:ascii="Times New Roman" w:hAnsi="Times New Roman" w:cs="Times New Roman"/>
          <w:sz w:val="22"/>
          <w:szCs w:val="22"/>
          <w:lang w:val="en"/>
        </w:rPr>
        <w:t xml:space="preserve"> disappearance of COVID-19 symptoms </w:t>
      </w:r>
      <w:r w:rsidRPr="001257E7">
        <w:rPr>
          <w:rFonts w:ascii="Times New Roman" w:hAnsi="Times New Roman" w:cs="Times New Roman"/>
          <w:color w:val="000000"/>
          <w:sz w:val="22"/>
          <w:szCs w:val="22"/>
          <w:lang w:val="en"/>
        </w:rPr>
        <w:t>from each therapy group.</w:t>
      </w:r>
      <w:r w:rsidR="001257E7">
        <w:rPr>
          <w:rFonts w:ascii="Times New Roman" w:hAnsi="Times New Roman" w:cs="Times New Roman"/>
          <w:color w:val="000000"/>
          <w:sz w:val="22"/>
          <w:szCs w:val="22"/>
          <w:lang w:val="en"/>
        </w:rPr>
        <w:t xml:space="preserve"> </w:t>
      </w:r>
      <w:r w:rsidRPr="001257E7">
        <w:rPr>
          <w:rFonts w:ascii="Times New Roman" w:hAnsi="Times New Roman" w:cs="Times New Roman"/>
          <w:sz w:val="22"/>
          <w:szCs w:val="22"/>
          <w:lang w:val="en"/>
        </w:rPr>
        <w:t xml:space="preserve">The average </w:t>
      </w:r>
      <w:r w:rsidRPr="001257E7">
        <w:rPr>
          <w:rFonts w:ascii="Times New Roman" w:hAnsi="Times New Roman" w:cs="Times New Roman"/>
          <w:i/>
          <w:iCs/>
          <w:sz w:val="22"/>
          <w:szCs w:val="22"/>
          <w:lang w:val="en"/>
        </w:rPr>
        <w:t>Cost-Effectiveness Ratio</w:t>
      </w:r>
      <w:r w:rsidRPr="001257E7">
        <w:rPr>
          <w:rFonts w:ascii="Times New Roman" w:hAnsi="Times New Roman" w:cs="Times New Roman"/>
          <w:sz w:val="22"/>
          <w:szCs w:val="22"/>
          <w:lang w:val="en"/>
        </w:rPr>
        <w:t xml:space="preserve"> (ACER) results based on the length of hospitalization showed that the lowest ACER value was the Favipiravir antiviral group with an ACER value of Rp.</w:t>
      </w:r>
      <w:r w:rsidR="001257E7">
        <w:rPr>
          <w:rFonts w:ascii="Times New Roman" w:hAnsi="Times New Roman" w:cs="Times New Roman"/>
          <w:sz w:val="22"/>
          <w:szCs w:val="22"/>
          <w:lang w:val="en"/>
        </w:rPr>
        <w:t xml:space="preserve"> </w:t>
      </w:r>
      <w:r w:rsidRPr="001257E7">
        <w:rPr>
          <w:rFonts w:ascii="Times New Roman" w:hAnsi="Times New Roman" w:cs="Times New Roman"/>
          <w:color w:val="000000"/>
          <w:sz w:val="22"/>
          <w:szCs w:val="22"/>
          <w:lang w:val="en"/>
        </w:rPr>
        <w:t>2,820,601.63</w:t>
      </w:r>
      <w:r w:rsidRPr="001257E7">
        <w:rPr>
          <w:rFonts w:ascii="Times New Roman" w:hAnsi="Times New Roman" w:cs="Times New Roman"/>
          <w:sz w:val="22"/>
          <w:szCs w:val="22"/>
          <w:lang w:val="en"/>
        </w:rPr>
        <w:t xml:space="preserve"> / day with an average length of stay of 11.22 days while the ACER value for the Remdesivir group is Rp.</w:t>
      </w:r>
      <w:r w:rsidR="001257E7">
        <w:rPr>
          <w:rFonts w:ascii="Times New Roman" w:hAnsi="Times New Roman" w:cs="Times New Roman"/>
          <w:sz w:val="22"/>
          <w:szCs w:val="22"/>
          <w:lang w:val="en"/>
        </w:rPr>
        <w:t xml:space="preserve"> </w:t>
      </w:r>
      <w:r w:rsidRPr="001257E7">
        <w:rPr>
          <w:rFonts w:ascii="Times New Roman" w:hAnsi="Times New Roman" w:cs="Times New Roman"/>
          <w:color w:val="000000"/>
          <w:sz w:val="22"/>
          <w:szCs w:val="22"/>
          <w:lang w:val="en"/>
        </w:rPr>
        <w:t>3,311,510.74</w:t>
      </w:r>
      <w:r w:rsidRPr="001257E7">
        <w:rPr>
          <w:rFonts w:ascii="Times New Roman" w:hAnsi="Times New Roman" w:cs="Times New Roman"/>
          <w:sz w:val="22"/>
          <w:szCs w:val="22"/>
          <w:lang w:val="en"/>
        </w:rPr>
        <w:t>/day with an average length of stay of 13.13 days. ACER results based on the disappearance time of COVID-19 symptoms show that the lowest ACER value is the Favipiravir antiviral group with an ACER value of Rp.</w:t>
      </w:r>
      <w:r w:rsidR="001257E7">
        <w:rPr>
          <w:rFonts w:ascii="Times New Roman" w:hAnsi="Times New Roman" w:cs="Times New Roman"/>
          <w:sz w:val="22"/>
          <w:szCs w:val="22"/>
          <w:lang w:val="en"/>
        </w:rPr>
        <w:t xml:space="preserve"> </w:t>
      </w:r>
      <w:r w:rsidRPr="001257E7">
        <w:rPr>
          <w:rFonts w:ascii="Times New Roman" w:hAnsi="Times New Roman" w:cs="Times New Roman"/>
          <w:color w:val="000000"/>
          <w:sz w:val="22"/>
          <w:szCs w:val="22"/>
          <w:lang w:val="en"/>
        </w:rPr>
        <w:t>6,485,071.79</w:t>
      </w:r>
      <w:r w:rsidRPr="001257E7">
        <w:rPr>
          <w:rFonts w:ascii="Times New Roman" w:hAnsi="Times New Roman" w:cs="Times New Roman"/>
          <w:sz w:val="22"/>
          <w:szCs w:val="22"/>
          <w:lang w:val="en"/>
        </w:rPr>
        <w:t xml:space="preserve"> / day with an average time of covid-19 symptom disappearance of 4.88 days while the ACER value for the Remdesivir group is Rp.</w:t>
      </w:r>
      <w:r w:rsidR="001257E7">
        <w:rPr>
          <w:rFonts w:ascii="Times New Roman" w:hAnsi="Times New Roman" w:cs="Times New Roman"/>
          <w:sz w:val="22"/>
          <w:szCs w:val="22"/>
          <w:lang w:val="en"/>
        </w:rPr>
        <w:t xml:space="preserve"> </w:t>
      </w:r>
      <w:r w:rsidRPr="001257E7">
        <w:rPr>
          <w:rFonts w:ascii="Times New Roman" w:hAnsi="Times New Roman" w:cs="Times New Roman"/>
          <w:color w:val="000000"/>
          <w:sz w:val="22"/>
          <w:szCs w:val="22"/>
          <w:lang w:val="en"/>
        </w:rPr>
        <w:t>8,329,527.98</w:t>
      </w:r>
      <w:r w:rsidRPr="001257E7">
        <w:rPr>
          <w:rFonts w:ascii="Times New Roman" w:hAnsi="Times New Roman" w:cs="Times New Roman"/>
          <w:sz w:val="22"/>
          <w:szCs w:val="22"/>
          <w:lang w:val="en"/>
        </w:rPr>
        <w:t xml:space="preserve">/day with an average covid-19 symptom disappearance time of 5.22 days. </w:t>
      </w:r>
    </w:p>
    <w:p w14:paraId="30BCEE12" w14:textId="325D5DEC" w:rsidR="00DC4C0A" w:rsidRPr="001257E7" w:rsidRDefault="00DC4C0A" w:rsidP="00F72CB5">
      <w:pPr>
        <w:pStyle w:val="NormalWeb"/>
        <w:spacing w:before="0" w:beforeAutospacing="0" w:after="0" w:afterAutospacing="0"/>
        <w:jc w:val="center"/>
        <w:rPr>
          <w:b/>
          <w:bCs/>
          <w:sz w:val="22"/>
          <w:szCs w:val="22"/>
        </w:rPr>
      </w:pPr>
      <w:r w:rsidRPr="001257E7">
        <w:rPr>
          <w:b/>
          <w:bCs/>
          <w:sz w:val="22"/>
          <w:szCs w:val="22"/>
          <w:lang w:val="en"/>
        </w:rPr>
        <w:lastRenderedPageBreak/>
        <w:t>Table 3. Calculation of</w:t>
      </w:r>
      <w:r w:rsidRPr="001257E7">
        <w:rPr>
          <w:b/>
          <w:bCs/>
          <w:i/>
          <w:iCs/>
          <w:color w:val="0C0C0C"/>
          <w:sz w:val="22"/>
          <w:szCs w:val="22"/>
          <w:lang w:val="en"/>
        </w:rPr>
        <w:t xml:space="preserve"> ACER Average Cost-Effectiveness Ratio </w:t>
      </w:r>
      <w:r w:rsidRPr="001257E7">
        <w:rPr>
          <w:b/>
          <w:bCs/>
          <w:sz w:val="22"/>
          <w:szCs w:val="22"/>
          <w:lang w:val="en"/>
        </w:rPr>
        <w:t>between Total Cost and Length of Hospitalization</w:t>
      </w:r>
    </w:p>
    <w:tbl>
      <w:tblPr>
        <w:tblStyle w:val="TabelBiasa2"/>
        <w:tblpPr w:leftFromText="180" w:rightFromText="180" w:vertAnchor="text" w:horzAnchor="margin" w:tblpXSpec="center" w:tblpY="118"/>
        <w:tblW w:w="7689" w:type="dxa"/>
        <w:tblLook w:val="04A0" w:firstRow="1" w:lastRow="0" w:firstColumn="1" w:lastColumn="0" w:noHBand="0" w:noVBand="1"/>
      </w:tblPr>
      <w:tblGrid>
        <w:gridCol w:w="1665"/>
        <w:gridCol w:w="1870"/>
        <w:gridCol w:w="2090"/>
        <w:gridCol w:w="2064"/>
      </w:tblGrid>
      <w:tr w:rsidR="00F72CB5" w:rsidRPr="001257E7" w14:paraId="4A389E55" w14:textId="77777777" w:rsidTr="00F72CB5">
        <w:trPr>
          <w:cnfStyle w:val="100000000000" w:firstRow="1" w:lastRow="0" w:firstColumn="0" w:lastColumn="0" w:oddVBand="0" w:evenVBand="0" w:oddHBand="0"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665" w:type="dxa"/>
            <w:vAlign w:val="bottom"/>
          </w:tcPr>
          <w:p w14:paraId="7B4F6D7A" w14:textId="77777777" w:rsidR="00F72CB5" w:rsidRPr="001257E7" w:rsidRDefault="00F72CB5" w:rsidP="00F72CB5">
            <w:pPr>
              <w:tabs>
                <w:tab w:val="left" w:pos="851"/>
              </w:tabs>
              <w:jc w:val="center"/>
              <w:rPr>
                <w:rFonts w:ascii="Times New Roman" w:hAnsi="Times New Roman" w:cs="Times New Roman"/>
                <w:b w:val="0"/>
                <w:bCs w:val="0"/>
                <w:color w:val="000000"/>
                <w:sz w:val="22"/>
                <w:szCs w:val="22"/>
              </w:rPr>
            </w:pPr>
            <w:r w:rsidRPr="001257E7">
              <w:rPr>
                <w:rFonts w:ascii="Times New Roman" w:hAnsi="Times New Roman" w:cs="Times New Roman"/>
                <w:color w:val="000000"/>
                <w:sz w:val="22"/>
                <w:szCs w:val="22"/>
                <w:lang w:val="en"/>
              </w:rPr>
              <w:t>Drug Group</w:t>
            </w:r>
          </w:p>
        </w:tc>
        <w:tc>
          <w:tcPr>
            <w:tcW w:w="1870" w:type="dxa"/>
            <w:vAlign w:val="bottom"/>
          </w:tcPr>
          <w:p w14:paraId="3127D17D" w14:textId="77777777" w:rsidR="00F72CB5" w:rsidRPr="001257E7" w:rsidRDefault="00F72CB5" w:rsidP="00F72CB5">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Total Cost (C)</w:t>
            </w:r>
          </w:p>
        </w:tc>
        <w:tc>
          <w:tcPr>
            <w:tcW w:w="2090" w:type="dxa"/>
            <w:vAlign w:val="bottom"/>
          </w:tcPr>
          <w:p w14:paraId="5F9C7F1A" w14:textId="77777777" w:rsidR="00F72CB5" w:rsidRPr="001257E7" w:rsidRDefault="00F72CB5" w:rsidP="00F72CB5">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2"/>
                <w:szCs w:val="22"/>
              </w:rPr>
            </w:pPr>
            <w:r w:rsidRPr="001257E7">
              <w:rPr>
                <w:rFonts w:ascii="Times New Roman" w:hAnsi="Times New Roman" w:cs="Times New Roman"/>
                <w:color w:val="000000"/>
                <w:sz w:val="22"/>
                <w:szCs w:val="22"/>
                <w:lang w:val="en"/>
              </w:rPr>
              <w:t xml:space="preserve">Length of Treatment </w:t>
            </w:r>
          </w:p>
          <w:p w14:paraId="11C4E85B" w14:textId="77777777" w:rsidR="00F72CB5" w:rsidRPr="001257E7" w:rsidRDefault="00F72CB5" w:rsidP="00F72CB5">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Stay (E)</w:t>
            </w:r>
          </w:p>
        </w:tc>
        <w:tc>
          <w:tcPr>
            <w:tcW w:w="2064" w:type="dxa"/>
            <w:vAlign w:val="bottom"/>
          </w:tcPr>
          <w:p w14:paraId="4A12B1B7" w14:textId="77777777" w:rsidR="00F72CB5" w:rsidRPr="001257E7" w:rsidRDefault="00F72CB5" w:rsidP="00F72CB5">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ACER (C/E)</w:t>
            </w:r>
          </w:p>
        </w:tc>
      </w:tr>
      <w:tr w:rsidR="00F72CB5" w:rsidRPr="001257E7" w14:paraId="2660FB2B" w14:textId="77777777" w:rsidTr="00F72CB5">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665" w:type="dxa"/>
            <w:vAlign w:val="bottom"/>
          </w:tcPr>
          <w:p w14:paraId="791F0F72" w14:textId="77777777" w:rsidR="00F72CB5" w:rsidRPr="001257E7" w:rsidRDefault="00F72CB5" w:rsidP="00F72CB5">
            <w:pPr>
              <w:tabs>
                <w:tab w:val="left" w:pos="851"/>
              </w:tabs>
              <w:jc w:val="center"/>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Remdesivir</w:t>
            </w:r>
          </w:p>
        </w:tc>
        <w:tc>
          <w:tcPr>
            <w:tcW w:w="1870" w:type="dxa"/>
            <w:vAlign w:val="bottom"/>
          </w:tcPr>
          <w:p w14:paraId="37A0902F" w14:textId="77777777" w:rsidR="00F72CB5" w:rsidRPr="001257E7" w:rsidRDefault="00F72CB5" w:rsidP="00F72CB5">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43,480,136.08</w:t>
            </w:r>
          </w:p>
        </w:tc>
        <w:tc>
          <w:tcPr>
            <w:tcW w:w="2090" w:type="dxa"/>
            <w:vAlign w:val="bottom"/>
          </w:tcPr>
          <w:p w14:paraId="25C83A03" w14:textId="77777777" w:rsidR="00F72CB5" w:rsidRPr="001257E7" w:rsidRDefault="00F72CB5" w:rsidP="00F72CB5">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13.13 days</w:t>
            </w:r>
          </w:p>
        </w:tc>
        <w:tc>
          <w:tcPr>
            <w:tcW w:w="2064" w:type="dxa"/>
            <w:vAlign w:val="bottom"/>
          </w:tcPr>
          <w:p w14:paraId="0D663DE4" w14:textId="77777777" w:rsidR="00F72CB5" w:rsidRPr="001257E7" w:rsidRDefault="00F72CB5" w:rsidP="00F72CB5">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3,311,510.74</w:t>
            </w:r>
          </w:p>
        </w:tc>
      </w:tr>
      <w:tr w:rsidR="00F72CB5" w:rsidRPr="001257E7" w14:paraId="0921136B" w14:textId="77777777" w:rsidTr="00F72CB5">
        <w:trPr>
          <w:trHeight w:val="72"/>
        </w:trPr>
        <w:tc>
          <w:tcPr>
            <w:cnfStyle w:val="001000000000" w:firstRow="0" w:lastRow="0" w:firstColumn="1" w:lastColumn="0" w:oddVBand="0" w:evenVBand="0" w:oddHBand="0" w:evenHBand="0" w:firstRowFirstColumn="0" w:firstRowLastColumn="0" w:lastRowFirstColumn="0" w:lastRowLastColumn="0"/>
            <w:tcW w:w="1665" w:type="dxa"/>
            <w:vAlign w:val="bottom"/>
          </w:tcPr>
          <w:p w14:paraId="719061F5" w14:textId="77777777" w:rsidR="00F72CB5" w:rsidRPr="001257E7" w:rsidRDefault="00F72CB5" w:rsidP="00F72CB5">
            <w:pPr>
              <w:tabs>
                <w:tab w:val="left" w:pos="851"/>
              </w:tabs>
              <w:jc w:val="center"/>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Favipiravir</w:t>
            </w:r>
          </w:p>
        </w:tc>
        <w:tc>
          <w:tcPr>
            <w:tcW w:w="1870" w:type="dxa"/>
            <w:vAlign w:val="bottom"/>
          </w:tcPr>
          <w:p w14:paraId="4B0ADCD4" w14:textId="77777777" w:rsidR="00F72CB5" w:rsidRPr="001257E7" w:rsidRDefault="00F72CB5" w:rsidP="00F72CB5">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31,647,150.33</w:t>
            </w:r>
          </w:p>
        </w:tc>
        <w:tc>
          <w:tcPr>
            <w:tcW w:w="2090" w:type="dxa"/>
            <w:vAlign w:val="bottom"/>
          </w:tcPr>
          <w:p w14:paraId="7AC68F59" w14:textId="77777777" w:rsidR="00F72CB5" w:rsidRPr="001257E7" w:rsidRDefault="00F72CB5" w:rsidP="00F72CB5">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11.22 days</w:t>
            </w:r>
          </w:p>
        </w:tc>
        <w:tc>
          <w:tcPr>
            <w:tcW w:w="2064" w:type="dxa"/>
            <w:vAlign w:val="bottom"/>
          </w:tcPr>
          <w:p w14:paraId="2E763D79" w14:textId="77777777" w:rsidR="00F72CB5" w:rsidRPr="001257E7" w:rsidRDefault="00F72CB5" w:rsidP="00F72CB5">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2,820,601.63</w:t>
            </w:r>
          </w:p>
        </w:tc>
      </w:tr>
    </w:tbl>
    <w:p w14:paraId="766AA560" w14:textId="77777777" w:rsidR="0003400E" w:rsidRPr="001257E7" w:rsidRDefault="0003400E" w:rsidP="001257E7">
      <w:pPr>
        <w:pStyle w:val="NormalWeb"/>
        <w:spacing w:before="0" w:beforeAutospacing="0" w:after="0" w:afterAutospacing="0"/>
        <w:rPr>
          <w:b/>
          <w:bCs/>
          <w:sz w:val="22"/>
          <w:szCs w:val="22"/>
        </w:rPr>
      </w:pPr>
    </w:p>
    <w:p w14:paraId="79691669" w14:textId="77777777" w:rsidR="00F72CB5" w:rsidRDefault="00F72CB5" w:rsidP="001257E7">
      <w:pPr>
        <w:pStyle w:val="NormalWeb"/>
        <w:spacing w:before="0" w:beforeAutospacing="0" w:after="0" w:afterAutospacing="0"/>
        <w:rPr>
          <w:b/>
          <w:bCs/>
          <w:sz w:val="22"/>
          <w:szCs w:val="22"/>
          <w:lang w:val="en"/>
        </w:rPr>
      </w:pPr>
    </w:p>
    <w:p w14:paraId="07EE3FA4" w14:textId="77777777" w:rsidR="00F72CB5" w:rsidRDefault="00F72CB5" w:rsidP="001257E7">
      <w:pPr>
        <w:pStyle w:val="NormalWeb"/>
        <w:spacing w:before="0" w:beforeAutospacing="0" w:after="0" w:afterAutospacing="0"/>
        <w:rPr>
          <w:b/>
          <w:bCs/>
          <w:sz w:val="22"/>
          <w:szCs w:val="22"/>
          <w:lang w:val="en"/>
        </w:rPr>
      </w:pPr>
    </w:p>
    <w:p w14:paraId="21233C56" w14:textId="77777777" w:rsidR="00F72CB5" w:rsidRDefault="00F72CB5" w:rsidP="001257E7">
      <w:pPr>
        <w:pStyle w:val="NormalWeb"/>
        <w:spacing w:before="0" w:beforeAutospacing="0" w:after="0" w:afterAutospacing="0"/>
        <w:rPr>
          <w:b/>
          <w:bCs/>
          <w:sz w:val="22"/>
          <w:szCs w:val="22"/>
          <w:lang w:val="en"/>
        </w:rPr>
      </w:pPr>
    </w:p>
    <w:p w14:paraId="0DAAC7A1" w14:textId="77777777" w:rsidR="00F72CB5" w:rsidRDefault="00F72CB5" w:rsidP="001257E7">
      <w:pPr>
        <w:pStyle w:val="NormalWeb"/>
        <w:spacing w:before="0" w:beforeAutospacing="0" w:after="0" w:afterAutospacing="0"/>
        <w:rPr>
          <w:b/>
          <w:bCs/>
          <w:sz w:val="22"/>
          <w:szCs w:val="22"/>
          <w:lang w:val="en"/>
        </w:rPr>
      </w:pPr>
    </w:p>
    <w:p w14:paraId="37C05D16" w14:textId="77777777" w:rsidR="00F72CB5" w:rsidRDefault="00F72CB5" w:rsidP="001257E7">
      <w:pPr>
        <w:pStyle w:val="NormalWeb"/>
        <w:spacing w:before="0" w:beforeAutospacing="0" w:after="0" w:afterAutospacing="0"/>
        <w:rPr>
          <w:b/>
          <w:bCs/>
          <w:sz w:val="22"/>
          <w:szCs w:val="22"/>
          <w:lang w:val="en"/>
        </w:rPr>
      </w:pPr>
    </w:p>
    <w:p w14:paraId="7FB39BA8" w14:textId="77777777" w:rsidR="00F72CB5" w:rsidRDefault="00F72CB5" w:rsidP="001257E7">
      <w:pPr>
        <w:pStyle w:val="NormalWeb"/>
        <w:spacing w:before="0" w:beforeAutospacing="0" w:after="0" w:afterAutospacing="0"/>
        <w:rPr>
          <w:b/>
          <w:bCs/>
          <w:sz w:val="22"/>
          <w:szCs w:val="22"/>
          <w:lang w:val="en"/>
        </w:rPr>
      </w:pPr>
    </w:p>
    <w:p w14:paraId="2377EE2B" w14:textId="77777777" w:rsidR="00F72CB5" w:rsidRDefault="00F72CB5" w:rsidP="001257E7">
      <w:pPr>
        <w:pStyle w:val="NormalWeb"/>
        <w:spacing w:before="0" w:beforeAutospacing="0" w:after="0" w:afterAutospacing="0"/>
        <w:rPr>
          <w:b/>
          <w:bCs/>
          <w:sz w:val="22"/>
          <w:szCs w:val="22"/>
          <w:lang w:val="en"/>
        </w:rPr>
      </w:pPr>
    </w:p>
    <w:p w14:paraId="420ED577" w14:textId="77777777" w:rsidR="00F72CB5" w:rsidRDefault="00F72CB5" w:rsidP="001257E7">
      <w:pPr>
        <w:pStyle w:val="NormalWeb"/>
        <w:spacing w:before="0" w:beforeAutospacing="0" w:after="0" w:afterAutospacing="0"/>
        <w:rPr>
          <w:b/>
          <w:bCs/>
          <w:sz w:val="22"/>
          <w:szCs w:val="22"/>
          <w:lang w:val="en"/>
        </w:rPr>
      </w:pPr>
    </w:p>
    <w:p w14:paraId="784B8E85" w14:textId="4AF8B399" w:rsidR="00DC4C0A" w:rsidRPr="001257E7" w:rsidRDefault="00DC4C0A" w:rsidP="00F72CB5">
      <w:pPr>
        <w:pStyle w:val="NormalWeb"/>
        <w:spacing w:before="0" w:beforeAutospacing="0" w:after="0" w:afterAutospacing="0"/>
        <w:jc w:val="center"/>
        <w:rPr>
          <w:b/>
          <w:bCs/>
          <w:sz w:val="22"/>
          <w:szCs w:val="22"/>
        </w:rPr>
      </w:pPr>
      <w:r w:rsidRPr="001257E7">
        <w:rPr>
          <w:b/>
          <w:bCs/>
          <w:sz w:val="22"/>
          <w:szCs w:val="22"/>
          <w:lang w:val="en"/>
        </w:rPr>
        <w:t>Table 4. Calculation of</w:t>
      </w:r>
      <w:r w:rsidRPr="001257E7">
        <w:rPr>
          <w:b/>
          <w:bCs/>
          <w:i/>
          <w:iCs/>
          <w:color w:val="0C0C0C"/>
          <w:sz w:val="22"/>
          <w:szCs w:val="22"/>
          <w:lang w:val="en"/>
        </w:rPr>
        <w:t xml:space="preserve"> ACER Average Cost-Effectiveness Ratio </w:t>
      </w:r>
      <w:r w:rsidRPr="001257E7">
        <w:rPr>
          <w:b/>
          <w:bCs/>
          <w:sz w:val="22"/>
          <w:szCs w:val="22"/>
          <w:lang w:val="en"/>
        </w:rPr>
        <w:t>between Total Biava and Length of Loss of COVID-19 Symptoms</w:t>
      </w:r>
    </w:p>
    <w:p w14:paraId="2E48A1F4" w14:textId="3379D93F" w:rsidR="00DC4C0A" w:rsidRPr="001257E7" w:rsidRDefault="00DC4C0A" w:rsidP="001257E7">
      <w:pPr>
        <w:rPr>
          <w:rFonts w:ascii="Times New Roman" w:hAnsi="Times New Roman" w:cs="Times New Roman"/>
          <w:sz w:val="22"/>
          <w:szCs w:val="22"/>
          <w:lang w:val="en-US"/>
        </w:rPr>
      </w:pPr>
    </w:p>
    <w:p w14:paraId="3024527A" w14:textId="7C7CEF01" w:rsidR="00DC4C0A" w:rsidRPr="001257E7" w:rsidRDefault="00DC4C0A" w:rsidP="001257E7">
      <w:pPr>
        <w:rPr>
          <w:rFonts w:ascii="Times New Roman" w:hAnsi="Times New Roman" w:cs="Times New Roman"/>
          <w:sz w:val="22"/>
          <w:szCs w:val="22"/>
          <w:lang w:val="en-US"/>
        </w:rPr>
      </w:pPr>
    </w:p>
    <w:tbl>
      <w:tblPr>
        <w:tblStyle w:val="TabelBiasa2"/>
        <w:tblpPr w:leftFromText="180" w:rightFromText="180" w:vertAnchor="text" w:horzAnchor="margin" w:tblpXSpec="center" w:tblpY="-53"/>
        <w:tblW w:w="8361" w:type="dxa"/>
        <w:tblLayout w:type="fixed"/>
        <w:tblLook w:val="04A0" w:firstRow="1" w:lastRow="0" w:firstColumn="1" w:lastColumn="0" w:noHBand="0" w:noVBand="1"/>
      </w:tblPr>
      <w:tblGrid>
        <w:gridCol w:w="1657"/>
        <w:gridCol w:w="2107"/>
        <w:gridCol w:w="2439"/>
        <w:gridCol w:w="2158"/>
      </w:tblGrid>
      <w:tr w:rsidR="00F72CB5" w:rsidRPr="001257E7" w14:paraId="7BD56CA6" w14:textId="77777777" w:rsidTr="00F72CB5">
        <w:trPr>
          <w:cnfStyle w:val="100000000000" w:firstRow="1" w:lastRow="0" w:firstColumn="0" w:lastColumn="0" w:oddVBand="0" w:evenVBand="0" w:oddHBand="0"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657" w:type="dxa"/>
            <w:vAlign w:val="bottom"/>
          </w:tcPr>
          <w:p w14:paraId="501E4BB7" w14:textId="77777777" w:rsidR="00F72CB5" w:rsidRPr="001257E7" w:rsidRDefault="00F72CB5" w:rsidP="00F72CB5">
            <w:pPr>
              <w:tabs>
                <w:tab w:val="left" w:pos="851"/>
              </w:tabs>
              <w:jc w:val="center"/>
              <w:rPr>
                <w:rFonts w:ascii="Times New Roman" w:hAnsi="Times New Roman" w:cs="Times New Roman"/>
                <w:b w:val="0"/>
                <w:bCs w:val="0"/>
                <w:color w:val="000000"/>
                <w:sz w:val="22"/>
                <w:szCs w:val="22"/>
              </w:rPr>
            </w:pPr>
            <w:r w:rsidRPr="001257E7">
              <w:rPr>
                <w:rFonts w:ascii="Times New Roman" w:hAnsi="Times New Roman" w:cs="Times New Roman"/>
                <w:color w:val="000000"/>
                <w:sz w:val="22"/>
                <w:szCs w:val="22"/>
                <w:lang w:val="en"/>
              </w:rPr>
              <w:t>Drug Group</w:t>
            </w:r>
          </w:p>
        </w:tc>
        <w:tc>
          <w:tcPr>
            <w:tcW w:w="2107" w:type="dxa"/>
            <w:vAlign w:val="bottom"/>
          </w:tcPr>
          <w:p w14:paraId="354B7BE1" w14:textId="77777777" w:rsidR="00F72CB5" w:rsidRPr="001257E7" w:rsidRDefault="00F72CB5" w:rsidP="00F72CB5">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Total Cost (C)</w:t>
            </w:r>
          </w:p>
        </w:tc>
        <w:tc>
          <w:tcPr>
            <w:tcW w:w="2439" w:type="dxa"/>
            <w:vAlign w:val="bottom"/>
          </w:tcPr>
          <w:p w14:paraId="2BDC3CC2" w14:textId="77777777" w:rsidR="00F72CB5" w:rsidRPr="001257E7" w:rsidRDefault="00F72CB5" w:rsidP="00F72CB5">
            <w:pPr>
              <w:pStyle w:val="DaftarParagraf"/>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1257E7">
              <w:rPr>
                <w:rFonts w:ascii="Times New Roman" w:hAnsi="Times New Roman" w:cs="Times New Roman"/>
                <w:sz w:val="22"/>
                <w:szCs w:val="22"/>
                <w:lang w:val="en"/>
              </w:rPr>
              <w:t>Long Lost Symptoms of COVID-19</w:t>
            </w:r>
            <w:r w:rsidRPr="001257E7">
              <w:rPr>
                <w:rFonts w:ascii="Times New Roman" w:hAnsi="Times New Roman" w:cs="Times New Roman"/>
                <w:color w:val="000000"/>
                <w:sz w:val="22"/>
                <w:szCs w:val="22"/>
                <w:lang w:val="en"/>
              </w:rPr>
              <w:t xml:space="preserve"> (E)</w:t>
            </w:r>
          </w:p>
        </w:tc>
        <w:tc>
          <w:tcPr>
            <w:tcW w:w="2158" w:type="dxa"/>
            <w:vAlign w:val="bottom"/>
          </w:tcPr>
          <w:p w14:paraId="3B13A609" w14:textId="77777777" w:rsidR="00F72CB5" w:rsidRPr="001257E7" w:rsidRDefault="00F72CB5" w:rsidP="00F72CB5">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ACER (C/E)</w:t>
            </w:r>
          </w:p>
        </w:tc>
      </w:tr>
      <w:tr w:rsidR="00F72CB5" w:rsidRPr="001257E7" w14:paraId="781C02AB" w14:textId="77777777" w:rsidTr="00F72CB5">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657" w:type="dxa"/>
            <w:vAlign w:val="bottom"/>
          </w:tcPr>
          <w:p w14:paraId="45B62426" w14:textId="77777777" w:rsidR="00F72CB5" w:rsidRPr="001257E7" w:rsidRDefault="00F72CB5" w:rsidP="00F72CB5">
            <w:pPr>
              <w:tabs>
                <w:tab w:val="left" w:pos="851"/>
              </w:tabs>
              <w:jc w:val="center"/>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Remdesivir</w:t>
            </w:r>
          </w:p>
        </w:tc>
        <w:tc>
          <w:tcPr>
            <w:tcW w:w="2107" w:type="dxa"/>
            <w:vAlign w:val="bottom"/>
          </w:tcPr>
          <w:p w14:paraId="7795ABC7" w14:textId="77777777" w:rsidR="00F72CB5" w:rsidRPr="001257E7" w:rsidRDefault="00F72CB5" w:rsidP="00F72CB5">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43,480,136.08</w:t>
            </w:r>
          </w:p>
        </w:tc>
        <w:tc>
          <w:tcPr>
            <w:tcW w:w="2439" w:type="dxa"/>
            <w:vAlign w:val="bottom"/>
          </w:tcPr>
          <w:p w14:paraId="43EBF9AA" w14:textId="77777777" w:rsidR="00F72CB5" w:rsidRPr="001257E7" w:rsidRDefault="00F72CB5" w:rsidP="00F72CB5">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5.22 days</w:t>
            </w:r>
          </w:p>
        </w:tc>
        <w:tc>
          <w:tcPr>
            <w:tcW w:w="2158" w:type="dxa"/>
            <w:vAlign w:val="bottom"/>
          </w:tcPr>
          <w:p w14:paraId="4ED5B8B6" w14:textId="77777777" w:rsidR="00F72CB5" w:rsidRPr="001257E7" w:rsidRDefault="00F72CB5" w:rsidP="00F72CB5">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8,329,527.98</w:t>
            </w:r>
          </w:p>
        </w:tc>
      </w:tr>
      <w:tr w:rsidR="00F72CB5" w:rsidRPr="001257E7" w14:paraId="4B4A1EA5" w14:textId="77777777" w:rsidTr="00F72CB5">
        <w:trPr>
          <w:trHeight w:val="72"/>
        </w:trPr>
        <w:tc>
          <w:tcPr>
            <w:cnfStyle w:val="001000000000" w:firstRow="0" w:lastRow="0" w:firstColumn="1" w:lastColumn="0" w:oddVBand="0" w:evenVBand="0" w:oddHBand="0" w:evenHBand="0" w:firstRowFirstColumn="0" w:firstRowLastColumn="0" w:lastRowFirstColumn="0" w:lastRowLastColumn="0"/>
            <w:tcW w:w="1657" w:type="dxa"/>
            <w:vAlign w:val="bottom"/>
          </w:tcPr>
          <w:p w14:paraId="659F512E" w14:textId="77777777" w:rsidR="00F72CB5" w:rsidRPr="001257E7" w:rsidRDefault="00F72CB5" w:rsidP="00F72CB5">
            <w:pPr>
              <w:tabs>
                <w:tab w:val="left" w:pos="851"/>
              </w:tabs>
              <w:jc w:val="center"/>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Favipiravir</w:t>
            </w:r>
          </w:p>
        </w:tc>
        <w:tc>
          <w:tcPr>
            <w:tcW w:w="2107" w:type="dxa"/>
            <w:vAlign w:val="bottom"/>
          </w:tcPr>
          <w:p w14:paraId="2BFA43AE" w14:textId="77777777" w:rsidR="00F72CB5" w:rsidRPr="001257E7" w:rsidRDefault="00F72CB5" w:rsidP="00F72CB5">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31,647,150.33</w:t>
            </w:r>
          </w:p>
        </w:tc>
        <w:tc>
          <w:tcPr>
            <w:tcW w:w="2439" w:type="dxa"/>
            <w:vAlign w:val="bottom"/>
          </w:tcPr>
          <w:p w14:paraId="3B032841" w14:textId="77777777" w:rsidR="00F72CB5" w:rsidRPr="001257E7" w:rsidRDefault="00F72CB5" w:rsidP="00F72CB5">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4.88 days</w:t>
            </w:r>
          </w:p>
        </w:tc>
        <w:tc>
          <w:tcPr>
            <w:tcW w:w="2158" w:type="dxa"/>
            <w:vAlign w:val="bottom"/>
          </w:tcPr>
          <w:p w14:paraId="032C0861" w14:textId="77777777" w:rsidR="00F72CB5" w:rsidRPr="001257E7" w:rsidRDefault="00F72CB5" w:rsidP="00F72CB5">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IDR 6,485,071.79</w:t>
            </w:r>
          </w:p>
        </w:tc>
      </w:tr>
    </w:tbl>
    <w:p w14:paraId="1616BCA2" w14:textId="75867CA1" w:rsidR="00DC4C0A" w:rsidRPr="001257E7" w:rsidRDefault="00F72CB5" w:rsidP="001257E7">
      <w:pPr>
        <w:ind w:firstLine="720"/>
        <w:jc w:val="both"/>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 xml:space="preserve"> </w:t>
      </w:r>
      <w:r w:rsidR="00DC4C0A" w:rsidRPr="001257E7">
        <w:rPr>
          <w:rFonts w:ascii="Times New Roman" w:hAnsi="Times New Roman" w:cs="Times New Roman"/>
          <w:color w:val="000000"/>
          <w:sz w:val="22"/>
          <w:szCs w:val="22"/>
          <w:lang w:val="en"/>
        </w:rPr>
        <w:t>From the</w:t>
      </w:r>
      <w:r w:rsidR="00DC4C0A" w:rsidRPr="001257E7">
        <w:rPr>
          <w:rFonts w:ascii="Times New Roman" w:hAnsi="Times New Roman" w:cs="Times New Roman"/>
          <w:i/>
          <w:iCs/>
          <w:color w:val="000000"/>
          <w:sz w:val="22"/>
          <w:szCs w:val="22"/>
          <w:lang w:val="en"/>
        </w:rPr>
        <w:t xml:space="preserve"> cost-effectiveness</w:t>
      </w:r>
      <w:r w:rsidR="00DC4C0A" w:rsidRPr="001257E7">
        <w:rPr>
          <w:rFonts w:ascii="Times New Roman" w:hAnsi="Times New Roman" w:cs="Times New Roman"/>
          <w:sz w:val="22"/>
          <w:szCs w:val="22"/>
          <w:lang w:val="en"/>
        </w:rPr>
        <w:t xml:space="preserve"> analysis, it was found that the Favipiravir therapy group was more cost-effective compared to the Remdesivir therapy group,</w:t>
      </w:r>
      <w:r w:rsidR="001257E7">
        <w:rPr>
          <w:rFonts w:ascii="Times New Roman" w:hAnsi="Times New Roman" w:cs="Times New Roman"/>
          <w:sz w:val="22"/>
          <w:szCs w:val="22"/>
          <w:lang w:val="en"/>
        </w:rPr>
        <w:t xml:space="preserve"> </w:t>
      </w:r>
      <w:r w:rsidR="00DC4C0A" w:rsidRPr="001257E7">
        <w:rPr>
          <w:rFonts w:ascii="Times New Roman" w:hAnsi="Times New Roman" w:cs="Times New Roman"/>
          <w:color w:val="000000"/>
          <w:sz w:val="22"/>
          <w:szCs w:val="22"/>
          <w:lang w:val="en"/>
        </w:rPr>
        <w:t>although the daily cost (ACER) of the Remdesivir therapy group was more expensive when compared to the Favipiravir therapy group, but when compared to its effectiveness (length of stay and time of</w:t>
      </w:r>
      <w:r w:rsidR="00DC4C0A" w:rsidRPr="001257E7">
        <w:rPr>
          <w:rFonts w:ascii="Times New Roman" w:hAnsi="Times New Roman" w:cs="Times New Roman"/>
          <w:sz w:val="22"/>
          <w:szCs w:val="22"/>
          <w:lang w:val="en"/>
        </w:rPr>
        <w:t xml:space="preserve"> disappearance of COVID-19 </w:t>
      </w:r>
      <w:r w:rsidR="00DC4C0A" w:rsidRPr="001257E7">
        <w:rPr>
          <w:rFonts w:ascii="Times New Roman" w:hAnsi="Times New Roman" w:cs="Times New Roman"/>
          <w:color w:val="000000"/>
          <w:sz w:val="22"/>
          <w:szCs w:val="22"/>
          <w:lang w:val="en"/>
        </w:rPr>
        <w:t>symptoms ) these costs will be different. The Favipiravir antiviral therapy group was more effective with a length of stay of 11.22 days at a lower cost expenditure compared to the Remdesivir antiviral with a length of stay of 13.13 days.</w:t>
      </w:r>
    </w:p>
    <w:p w14:paraId="764BCE10" w14:textId="755541BB" w:rsidR="00DC4C0A" w:rsidRPr="001257E7" w:rsidRDefault="00DC4C0A" w:rsidP="001257E7">
      <w:pPr>
        <w:ind w:firstLine="720"/>
        <w:jc w:val="both"/>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The results of determining the alternative positioning of COVID-19 treatment based on the Cost-Effectiveness Diagram, it is known that</w:t>
      </w:r>
      <w:r w:rsidR="001257E7">
        <w:rPr>
          <w:rFonts w:ascii="Times New Roman" w:hAnsi="Times New Roman" w:cs="Times New Roman"/>
          <w:color w:val="000000"/>
          <w:sz w:val="22"/>
          <w:szCs w:val="22"/>
          <w:lang w:val="en"/>
        </w:rPr>
        <w:t xml:space="preserve"> </w:t>
      </w:r>
      <w:r w:rsidRPr="001257E7">
        <w:rPr>
          <w:rFonts w:ascii="Times New Roman" w:hAnsi="Times New Roman" w:cs="Times New Roman"/>
          <w:sz w:val="22"/>
          <w:szCs w:val="22"/>
          <w:lang w:val="en"/>
        </w:rPr>
        <w:t xml:space="preserve">in the length of </w:t>
      </w:r>
      <w:r w:rsidRPr="001257E7">
        <w:rPr>
          <w:rFonts w:ascii="Times New Roman" w:hAnsi="Times New Roman" w:cs="Times New Roman"/>
          <w:color w:val="000000"/>
          <w:sz w:val="22"/>
          <w:szCs w:val="22"/>
          <w:lang w:val="en"/>
        </w:rPr>
        <w:t>treatment and the duration</w:t>
      </w:r>
      <w:r w:rsidR="001257E7">
        <w:rPr>
          <w:rFonts w:ascii="Times New Roman" w:hAnsi="Times New Roman" w:cs="Times New Roman"/>
          <w:color w:val="000000"/>
          <w:sz w:val="22"/>
          <w:szCs w:val="22"/>
          <w:lang w:val="en"/>
        </w:rPr>
        <w:t xml:space="preserve"> </w:t>
      </w:r>
      <w:r w:rsidRPr="001257E7">
        <w:rPr>
          <w:rFonts w:ascii="Times New Roman" w:hAnsi="Times New Roman" w:cs="Times New Roman"/>
          <w:sz w:val="22"/>
          <w:szCs w:val="22"/>
          <w:lang w:val="en"/>
        </w:rPr>
        <w:t xml:space="preserve">of </w:t>
      </w:r>
      <w:r w:rsidRPr="001257E7">
        <w:rPr>
          <w:rFonts w:ascii="Times New Roman" w:hAnsi="Times New Roman" w:cs="Times New Roman"/>
          <w:color w:val="000000"/>
          <w:sz w:val="22"/>
          <w:szCs w:val="22"/>
          <w:lang w:val="en"/>
        </w:rPr>
        <w:t>disappearance of COVID-19</w:t>
      </w:r>
      <w:r w:rsidR="001257E7">
        <w:rPr>
          <w:rFonts w:ascii="Times New Roman" w:hAnsi="Times New Roman" w:cs="Times New Roman"/>
          <w:color w:val="000000"/>
          <w:sz w:val="22"/>
          <w:szCs w:val="22"/>
          <w:lang w:val="en"/>
        </w:rPr>
        <w:t xml:space="preserve"> </w:t>
      </w:r>
      <w:r w:rsidRPr="001257E7">
        <w:rPr>
          <w:rFonts w:ascii="Times New Roman" w:hAnsi="Times New Roman" w:cs="Times New Roman"/>
          <w:color w:val="000000"/>
          <w:sz w:val="22"/>
          <w:szCs w:val="22"/>
          <w:lang w:val="en"/>
        </w:rPr>
        <w:t>symptoms</w:t>
      </w:r>
      <w:r w:rsidRPr="001257E7">
        <w:rPr>
          <w:rFonts w:ascii="Times New Roman" w:hAnsi="Times New Roman" w:cs="Times New Roman"/>
          <w:sz w:val="22"/>
          <w:szCs w:val="22"/>
          <w:lang w:val="en"/>
        </w:rPr>
        <w:t xml:space="preserve"> Favipiravir's </w:t>
      </w:r>
      <w:r w:rsidRPr="001257E7">
        <w:rPr>
          <w:rFonts w:ascii="Times New Roman" w:hAnsi="Times New Roman" w:cs="Times New Roman"/>
          <w:color w:val="000000"/>
          <w:sz w:val="22"/>
          <w:szCs w:val="22"/>
          <w:lang w:val="en"/>
        </w:rPr>
        <w:t xml:space="preserve">position lies in quadrant II which means that Favipiravir has high effectiveness at a low cost compared to Remdesivir. </w:t>
      </w:r>
    </w:p>
    <w:p w14:paraId="6B20EEFC" w14:textId="697D2152" w:rsidR="0003400E" w:rsidRPr="001257E7" w:rsidRDefault="0003400E" w:rsidP="001257E7">
      <w:pPr>
        <w:jc w:val="both"/>
        <w:rPr>
          <w:rFonts w:ascii="Times New Roman" w:hAnsi="Times New Roman" w:cs="Times New Roman"/>
          <w:color w:val="000000"/>
          <w:sz w:val="22"/>
          <w:szCs w:val="22"/>
        </w:rPr>
      </w:pPr>
    </w:p>
    <w:tbl>
      <w:tblPr>
        <w:tblStyle w:val="TabelBiasa2"/>
        <w:tblpPr w:leftFromText="180" w:rightFromText="180" w:vertAnchor="text" w:horzAnchor="margin" w:tblpXSpec="center" w:tblpY="587"/>
        <w:tblW w:w="7787" w:type="dxa"/>
        <w:tblLook w:val="04A0" w:firstRow="1" w:lastRow="0" w:firstColumn="1" w:lastColumn="0" w:noHBand="0" w:noVBand="1"/>
      </w:tblPr>
      <w:tblGrid>
        <w:gridCol w:w="1390"/>
        <w:gridCol w:w="1073"/>
        <w:gridCol w:w="1784"/>
        <w:gridCol w:w="1770"/>
        <w:gridCol w:w="1770"/>
      </w:tblGrid>
      <w:tr w:rsidR="00F72CB5" w:rsidRPr="00F72CB5" w14:paraId="45E36A6B" w14:textId="77777777" w:rsidTr="00F72CB5">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390" w:type="dxa"/>
            <w:vMerge w:val="restart"/>
            <w:vAlign w:val="bottom"/>
          </w:tcPr>
          <w:p w14:paraId="61C24F7A" w14:textId="77777777" w:rsidR="00F72CB5" w:rsidRPr="00F72CB5" w:rsidRDefault="00F72CB5" w:rsidP="00F72CB5">
            <w:pPr>
              <w:tabs>
                <w:tab w:val="left" w:pos="851"/>
              </w:tabs>
              <w:jc w:val="both"/>
              <w:rPr>
                <w:rFonts w:ascii="Times New Roman" w:hAnsi="Times New Roman" w:cs="Times New Roman"/>
                <w:b w:val="0"/>
                <w:bCs w:val="0"/>
                <w:color w:val="000000"/>
                <w:sz w:val="20"/>
                <w:szCs w:val="20"/>
              </w:rPr>
            </w:pPr>
          </w:p>
        </w:tc>
        <w:tc>
          <w:tcPr>
            <w:tcW w:w="1073" w:type="dxa"/>
            <w:vMerge w:val="restart"/>
          </w:tcPr>
          <w:p w14:paraId="766FEA36" w14:textId="77777777" w:rsidR="00F72CB5" w:rsidRPr="00F72CB5" w:rsidRDefault="00F72CB5" w:rsidP="00F72CB5">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p>
        </w:tc>
        <w:tc>
          <w:tcPr>
            <w:tcW w:w="5324" w:type="dxa"/>
            <w:gridSpan w:val="3"/>
          </w:tcPr>
          <w:p w14:paraId="3E79133A" w14:textId="77777777" w:rsidR="00F72CB5" w:rsidRPr="00F72CB5" w:rsidRDefault="00F72CB5" w:rsidP="00F72CB5">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72CB5">
              <w:rPr>
                <w:rFonts w:ascii="Times New Roman" w:hAnsi="Times New Roman" w:cs="Times New Roman"/>
                <w:color w:val="000000"/>
                <w:sz w:val="20"/>
                <w:szCs w:val="20"/>
                <w:lang w:val="en"/>
              </w:rPr>
              <w:t>Cost of Remdesivir against Favipiravir</w:t>
            </w:r>
          </w:p>
        </w:tc>
      </w:tr>
      <w:tr w:rsidR="00F72CB5" w:rsidRPr="00F72CB5" w14:paraId="1188688F" w14:textId="77777777" w:rsidTr="00F72CB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390" w:type="dxa"/>
            <w:vMerge/>
            <w:vAlign w:val="bottom"/>
          </w:tcPr>
          <w:p w14:paraId="40765640" w14:textId="77777777" w:rsidR="00F72CB5" w:rsidRPr="00F72CB5" w:rsidRDefault="00F72CB5" w:rsidP="00F72CB5">
            <w:pPr>
              <w:tabs>
                <w:tab w:val="left" w:pos="851"/>
              </w:tabs>
              <w:jc w:val="both"/>
              <w:rPr>
                <w:rFonts w:ascii="Times New Roman" w:hAnsi="Times New Roman" w:cs="Times New Roman"/>
                <w:color w:val="000000"/>
                <w:sz w:val="20"/>
                <w:szCs w:val="20"/>
              </w:rPr>
            </w:pPr>
          </w:p>
        </w:tc>
        <w:tc>
          <w:tcPr>
            <w:tcW w:w="1073" w:type="dxa"/>
            <w:vMerge/>
          </w:tcPr>
          <w:p w14:paraId="16D7A4C0" w14:textId="77777777" w:rsidR="00F72CB5" w:rsidRPr="00F72CB5" w:rsidRDefault="00F72CB5" w:rsidP="00F72CB5">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784" w:type="dxa"/>
            <w:vAlign w:val="bottom"/>
          </w:tcPr>
          <w:p w14:paraId="69D828DF" w14:textId="77777777" w:rsidR="00F72CB5" w:rsidRPr="00F72CB5" w:rsidRDefault="00F72CB5" w:rsidP="00F72CB5">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72CB5">
              <w:rPr>
                <w:rFonts w:ascii="Times New Roman" w:hAnsi="Times New Roman" w:cs="Times New Roman"/>
                <w:color w:val="000000"/>
                <w:sz w:val="20"/>
                <w:szCs w:val="20"/>
                <w:lang w:val="en"/>
              </w:rPr>
              <w:t>Lower</w:t>
            </w:r>
          </w:p>
        </w:tc>
        <w:tc>
          <w:tcPr>
            <w:tcW w:w="1770" w:type="dxa"/>
            <w:vAlign w:val="center"/>
          </w:tcPr>
          <w:p w14:paraId="24A4EC06" w14:textId="77777777" w:rsidR="00F72CB5" w:rsidRPr="00F72CB5" w:rsidRDefault="00F72CB5" w:rsidP="00F72CB5">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72CB5">
              <w:rPr>
                <w:rFonts w:ascii="Times New Roman" w:hAnsi="Times New Roman" w:cs="Times New Roman"/>
                <w:color w:val="000000"/>
                <w:sz w:val="20"/>
                <w:szCs w:val="20"/>
                <w:lang w:val="en"/>
              </w:rPr>
              <w:t>same</w:t>
            </w:r>
          </w:p>
        </w:tc>
        <w:tc>
          <w:tcPr>
            <w:tcW w:w="1770" w:type="dxa"/>
            <w:vAlign w:val="bottom"/>
          </w:tcPr>
          <w:p w14:paraId="65FF6311" w14:textId="77777777" w:rsidR="00F72CB5" w:rsidRPr="00F72CB5" w:rsidRDefault="00F72CB5" w:rsidP="00F72CB5">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72CB5">
              <w:rPr>
                <w:rFonts w:ascii="Times New Roman" w:hAnsi="Times New Roman" w:cs="Times New Roman"/>
                <w:color w:val="000000"/>
                <w:sz w:val="20"/>
                <w:szCs w:val="20"/>
                <w:lang w:val="en"/>
              </w:rPr>
              <w:t>Higher</w:t>
            </w:r>
          </w:p>
        </w:tc>
      </w:tr>
      <w:tr w:rsidR="00F72CB5" w:rsidRPr="00F72CB5" w14:paraId="2C4210E5" w14:textId="77777777" w:rsidTr="00F72CB5">
        <w:trPr>
          <w:trHeight w:val="40"/>
        </w:trPr>
        <w:tc>
          <w:tcPr>
            <w:cnfStyle w:val="001000000000" w:firstRow="0" w:lastRow="0" w:firstColumn="1" w:lastColumn="0" w:oddVBand="0" w:evenVBand="0" w:oddHBand="0" w:evenHBand="0" w:firstRowFirstColumn="0" w:firstRowLastColumn="0" w:lastRowFirstColumn="0" w:lastRowLastColumn="0"/>
            <w:tcW w:w="1390" w:type="dxa"/>
            <w:vMerge w:val="restart"/>
          </w:tcPr>
          <w:p w14:paraId="391FE036" w14:textId="77777777" w:rsidR="00F72CB5" w:rsidRPr="00F72CB5" w:rsidRDefault="00F72CB5" w:rsidP="00F72CB5">
            <w:pPr>
              <w:tabs>
                <w:tab w:val="left" w:pos="851"/>
              </w:tabs>
              <w:rPr>
                <w:rFonts w:ascii="Times New Roman" w:hAnsi="Times New Roman" w:cs="Times New Roman"/>
                <w:color w:val="000000"/>
                <w:sz w:val="20"/>
                <w:szCs w:val="20"/>
              </w:rPr>
            </w:pPr>
            <w:r w:rsidRPr="00F72CB5">
              <w:rPr>
                <w:rFonts w:ascii="Times New Roman" w:hAnsi="Times New Roman" w:cs="Times New Roman"/>
                <w:color w:val="000000"/>
                <w:sz w:val="20"/>
                <w:szCs w:val="20"/>
                <w:lang w:val="en"/>
              </w:rPr>
              <w:t>Effectiveness of Remdesivir against Favipiravir</w:t>
            </w:r>
          </w:p>
        </w:tc>
        <w:tc>
          <w:tcPr>
            <w:tcW w:w="1073" w:type="dxa"/>
            <w:vAlign w:val="center"/>
          </w:tcPr>
          <w:p w14:paraId="16E93C2E" w14:textId="77777777" w:rsidR="00F72CB5" w:rsidRPr="00F72CB5" w:rsidRDefault="00F72CB5" w:rsidP="00F72CB5">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72CB5">
              <w:rPr>
                <w:rFonts w:ascii="Times New Roman" w:hAnsi="Times New Roman" w:cs="Times New Roman"/>
                <w:color w:val="000000"/>
                <w:sz w:val="20"/>
                <w:szCs w:val="20"/>
                <w:lang w:val="en"/>
              </w:rPr>
              <w:t>Higher</w:t>
            </w:r>
          </w:p>
        </w:tc>
        <w:tc>
          <w:tcPr>
            <w:tcW w:w="1784" w:type="dxa"/>
            <w:vAlign w:val="center"/>
          </w:tcPr>
          <w:p w14:paraId="0CB66BE8" w14:textId="77777777" w:rsidR="00F72CB5" w:rsidRPr="00F72CB5" w:rsidRDefault="00F72CB5" w:rsidP="00F72CB5">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F72CB5">
              <w:rPr>
                <w:rFonts w:ascii="Times New Roman" w:hAnsi="Times New Roman" w:cs="Times New Roman"/>
                <w:b/>
                <w:bCs/>
                <w:color w:val="000000"/>
                <w:sz w:val="20"/>
                <w:szCs w:val="20"/>
                <w:lang w:val="en"/>
              </w:rPr>
              <w:t>Favipiravir</w:t>
            </w:r>
          </w:p>
          <w:p w14:paraId="4D5669CA" w14:textId="77777777" w:rsidR="00F72CB5" w:rsidRPr="00F72CB5" w:rsidRDefault="00F72CB5" w:rsidP="00F72CB5">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w:r w:rsidRPr="00F72CB5">
              <w:rPr>
                <w:rFonts w:ascii="Times New Roman" w:hAnsi="Times New Roman" w:cs="Times New Roman"/>
                <w:i/>
                <w:iCs/>
                <w:color w:val="000000"/>
                <w:sz w:val="20"/>
                <w:szCs w:val="20"/>
                <w:lang w:val="en"/>
              </w:rPr>
              <w:t>(Dominant)</w:t>
            </w:r>
          </w:p>
        </w:tc>
        <w:tc>
          <w:tcPr>
            <w:tcW w:w="1770" w:type="dxa"/>
            <w:vAlign w:val="center"/>
          </w:tcPr>
          <w:p w14:paraId="0725414E" w14:textId="77777777" w:rsidR="00F72CB5" w:rsidRPr="00F72CB5" w:rsidRDefault="00F72CB5" w:rsidP="00F72CB5">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w:r w:rsidRPr="00F72CB5">
              <w:rPr>
                <w:rFonts w:ascii="Times New Roman" w:hAnsi="Times New Roman" w:cs="Times New Roman"/>
                <w:color w:val="000000"/>
                <w:sz w:val="20"/>
                <w:szCs w:val="20"/>
                <w:lang w:val="en"/>
              </w:rPr>
              <w:t>+</w:t>
            </w:r>
          </w:p>
        </w:tc>
        <w:tc>
          <w:tcPr>
            <w:tcW w:w="1770" w:type="dxa"/>
            <w:vAlign w:val="center"/>
          </w:tcPr>
          <w:p w14:paraId="3B46F56C" w14:textId="77777777" w:rsidR="00F72CB5" w:rsidRPr="00F72CB5" w:rsidRDefault="00F72CB5" w:rsidP="00F72CB5">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w:r w:rsidRPr="00F72CB5">
              <w:rPr>
                <w:rFonts w:ascii="Times New Roman" w:hAnsi="Times New Roman" w:cs="Times New Roman"/>
                <w:color w:val="000000"/>
                <w:sz w:val="20"/>
                <w:szCs w:val="20"/>
                <w:lang w:val="en"/>
              </w:rPr>
              <w:t>+/-</w:t>
            </w:r>
            <w:r w:rsidRPr="00F72CB5">
              <w:rPr>
                <w:rFonts w:ascii="Times New Roman" w:hAnsi="Times New Roman" w:cs="Times New Roman"/>
                <w:i/>
                <w:iCs/>
                <w:color w:val="000000"/>
                <w:sz w:val="20"/>
                <w:szCs w:val="20"/>
                <w:lang w:val="en"/>
              </w:rPr>
              <w:t xml:space="preserve"> (Trade Off)</w:t>
            </w:r>
          </w:p>
        </w:tc>
      </w:tr>
      <w:tr w:rsidR="00F72CB5" w:rsidRPr="00F72CB5" w14:paraId="34FB2C0C" w14:textId="77777777" w:rsidTr="00F72CB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390" w:type="dxa"/>
            <w:vMerge/>
          </w:tcPr>
          <w:p w14:paraId="7D8EE0CD" w14:textId="77777777" w:rsidR="00F72CB5" w:rsidRPr="00F72CB5" w:rsidRDefault="00F72CB5" w:rsidP="00F72CB5">
            <w:pPr>
              <w:tabs>
                <w:tab w:val="left" w:pos="851"/>
              </w:tabs>
              <w:rPr>
                <w:rFonts w:ascii="Times New Roman" w:hAnsi="Times New Roman" w:cs="Times New Roman"/>
                <w:color w:val="000000"/>
                <w:sz w:val="20"/>
                <w:szCs w:val="20"/>
              </w:rPr>
            </w:pPr>
          </w:p>
        </w:tc>
        <w:tc>
          <w:tcPr>
            <w:tcW w:w="1073" w:type="dxa"/>
            <w:vAlign w:val="center"/>
          </w:tcPr>
          <w:p w14:paraId="6D5320D7" w14:textId="77777777" w:rsidR="00F72CB5" w:rsidRPr="00F72CB5" w:rsidRDefault="00F72CB5" w:rsidP="00F72CB5">
            <w:pPr>
              <w:tabs>
                <w:tab w:val="left" w:pos="85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72CB5">
              <w:rPr>
                <w:rFonts w:ascii="Times New Roman" w:hAnsi="Times New Roman" w:cs="Times New Roman"/>
                <w:color w:val="000000"/>
                <w:sz w:val="20"/>
                <w:szCs w:val="20"/>
                <w:lang w:val="en"/>
              </w:rPr>
              <w:t>same</w:t>
            </w:r>
          </w:p>
        </w:tc>
        <w:tc>
          <w:tcPr>
            <w:tcW w:w="1784" w:type="dxa"/>
            <w:vAlign w:val="center"/>
          </w:tcPr>
          <w:p w14:paraId="291FC86D" w14:textId="77777777" w:rsidR="00F72CB5" w:rsidRPr="00F72CB5" w:rsidRDefault="00F72CB5" w:rsidP="00F72C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72CB5">
              <w:rPr>
                <w:rFonts w:ascii="Times New Roman" w:hAnsi="Times New Roman" w:cs="Times New Roman"/>
                <w:color w:val="000000"/>
                <w:sz w:val="20"/>
                <w:szCs w:val="20"/>
                <w:lang w:val="en"/>
              </w:rPr>
              <w:t>+</w:t>
            </w:r>
          </w:p>
        </w:tc>
        <w:tc>
          <w:tcPr>
            <w:tcW w:w="1770" w:type="dxa"/>
            <w:vAlign w:val="center"/>
          </w:tcPr>
          <w:p w14:paraId="4358BBDD" w14:textId="77777777" w:rsidR="00F72CB5" w:rsidRPr="00F72CB5" w:rsidRDefault="00F72CB5" w:rsidP="00F72C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sz w:val="20"/>
                <w:szCs w:val="20"/>
              </w:rPr>
            </w:pPr>
            <w:proofErr w:type="spellStart"/>
            <w:r w:rsidRPr="00F72CB5">
              <w:rPr>
                <w:rFonts w:ascii="Times New Roman" w:hAnsi="Times New Roman" w:cs="Times New Roman"/>
                <w:i/>
                <w:iCs/>
                <w:color w:val="000000"/>
                <w:sz w:val="20"/>
                <w:szCs w:val="20"/>
                <w:lang w:val="en"/>
              </w:rPr>
              <w:t>Arbitary</w:t>
            </w:r>
            <w:proofErr w:type="spellEnd"/>
          </w:p>
        </w:tc>
        <w:tc>
          <w:tcPr>
            <w:tcW w:w="1770" w:type="dxa"/>
            <w:vAlign w:val="center"/>
          </w:tcPr>
          <w:p w14:paraId="3E2BE4F4" w14:textId="77777777" w:rsidR="00F72CB5" w:rsidRPr="00F72CB5" w:rsidRDefault="00F72CB5" w:rsidP="00F72CB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72CB5">
              <w:rPr>
                <w:rFonts w:ascii="Times New Roman" w:hAnsi="Times New Roman" w:cs="Times New Roman"/>
                <w:color w:val="000000"/>
                <w:sz w:val="20"/>
                <w:szCs w:val="20"/>
                <w:lang w:val="en"/>
              </w:rPr>
              <w:t>-</w:t>
            </w:r>
          </w:p>
        </w:tc>
      </w:tr>
      <w:tr w:rsidR="00F72CB5" w:rsidRPr="00F72CB5" w14:paraId="0BA3400C" w14:textId="77777777" w:rsidTr="00F72CB5">
        <w:trPr>
          <w:trHeight w:val="698"/>
        </w:trPr>
        <w:tc>
          <w:tcPr>
            <w:cnfStyle w:val="001000000000" w:firstRow="0" w:lastRow="0" w:firstColumn="1" w:lastColumn="0" w:oddVBand="0" w:evenVBand="0" w:oddHBand="0" w:evenHBand="0" w:firstRowFirstColumn="0" w:firstRowLastColumn="0" w:lastRowFirstColumn="0" w:lastRowLastColumn="0"/>
            <w:tcW w:w="1390" w:type="dxa"/>
            <w:vMerge/>
          </w:tcPr>
          <w:p w14:paraId="22D5A62C" w14:textId="77777777" w:rsidR="00F72CB5" w:rsidRPr="00F72CB5" w:rsidRDefault="00F72CB5" w:rsidP="00F72CB5">
            <w:pPr>
              <w:tabs>
                <w:tab w:val="left" w:pos="851"/>
              </w:tabs>
              <w:rPr>
                <w:rFonts w:ascii="Times New Roman" w:hAnsi="Times New Roman" w:cs="Times New Roman"/>
                <w:color w:val="000000"/>
                <w:sz w:val="20"/>
                <w:szCs w:val="20"/>
              </w:rPr>
            </w:pPr>
          </w:p>
        </w:tc>
        <w:tc>
          <w:tcPr>
            <w:tcW w:w="1073" w:type="dxa"/>
            <w:vAlign w:val="center"/>
          </w:tcPr>
          <w:p w14:paraId="7954A957" w14:textId="77777777" w:rsidR="00F72CB5" w:rsidRPr="00F72CB5" w:rsidRDefault="00F72CB5" w:rsidP="00F72CB5">
            <w:pPr>
              <w:tabs>
                <w:tab w:val="left" w:pos="851"/>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72CB5">
              <w:rPr>
                <w:rFonts w:ascii="Times New Roman" w:hAnsi="Times New Roman" w:cs="Times New Roman"/>
                <w:color w:val="000000"/>
                <w:sz w:val="20"/>
                <w:szCs w:val="20"/>
                <w:lang w:val="en"/>
              </w:rPr>
              <w:t>Lower</w:t>
            </w:r>
          </w:p>
        </w:tc>
        <w:tc>
          <w:tcPr>
            <w:tcW w:w="1784" w:type="dxa"/>
            <w:vAlign w:val="center"/>
          </w:tcPr>
          <w:p w14:paraId="3FF17A1F" w14:textId="77777777" w:rsidR="00F72CB5" w:rsidRPr="00F72CB5" w:rsidRDefault="00F72CB5" w:rsidP="00F72CB5">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w:r w:rsidRPr="00F72CB5">
              <w:rPr>
                <w:rFonts w:ascii="Times New Roman" w:hAnsi="Times New Roman" w:cs="Times New Roman"/>
                <w:i/>
                <w:iCs/>
                <w:color w:val="000000"/>
                <w:sz w:val="20"/>
                <w:szCs w:val="20"/>
                <w:lang w:val="en"/>
              </w:rPr>
              <w:t>+/- (Trade off)</w:t>
            </w:r>
          </w:p>
        </w:tc>
        <w:tc>
          <w:tcPr>
            <w:tcW w:w="1770" w:type="dxa"/>
            <w:vAlign w:val="center"/>
          </w:tcPr>
          <w:p w14:paraId="2DE6D97E" w14:textId="77777777" w:rsidR="00F72CB5" w:rsidRPr="00F72CB5" w:rsidRDefault="00F72CB5" w:rsidP="00F72C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w:r w:rsidRPr="00F72CB5">
              <w:rPr>
                <w:rFonts w:ascii="Times New Roman" w:hAnsi="Times New Roman" w:cs="Times New Roman"/>
                <w:color w:val="000000"/>
                <w:sz w:val="20"/>
                <w:szCs w:val="20"/>
                <w:lang w:val="en"/>
              </w:rPr>
              <w:t>-</w:t>
            </w:r>
          </w:p>
        </w:tc>
        <w:tc>
          <w:tcPr>
            <w:tcW w:w="1770" w:type="dxa"/>
            <w:vAlign w:val="center"/>
          </w:tcPr>
          <w:p w14:paraId="0C3295A3" w14:textId="77777777" w:rsidR="00F72CB5" w:rsidRPr="00F72CB5" w:rsidRDefault="00F72CB5" w:rsidP="00F72C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rPr>
            </w:pPr>
            <w:r w:rsidRPr="00F72CB5">
              <w:rPr>
                <w:rFonts w:ascii="Times New Roman" w:hAnsi="Times New Roman" w:cs="Times New Roman"/>
                <w:i/>
                <w:iCs/>
                <w:color w:val="000000"/>
                <w:sz w:val="20"/>
                <w:szCs w:val="20"/>
                <w:lang w:val="en"/>
              </w:rPr>
              <w:t>(Dominated)</w:t>
            </w:r>
          </w:p>
        </w:tc>
      </w:tr>
    </w:tbl>
    <w:p w14:paraId="0F15A425" w14:textId="7E84B440" w:rsidR="0003400E" w:rsidRDefault="00F72CB5" w:rsidP="00F72CB5">
      <w:pPr>
        <w:jc w:val="center"/>
        <w:rPr>
          <w:rFonts w:ascii="Times New Roman" w:hAnsi="Times New Roman" w:cs="Times New Roman"/>
          <w:b/>
          <w:bCs/>
          <w:sz w:val="22"/>
          <w:szCs w:val="22"/>
          <w:lang w:val="en"/>
        </w:rPr>
      </w:pPr>
      <w:r w:rsidRPr="001257E7">
        <w:rPr>
          <w:rFonts w:ascii="Times New Roman" w:hAnsi="Times New Roman" w:cs="Times New Roman"/>
          <w:b/>
          <w:bCs/>
          <w:sz w:val="22"/>
          <w:szCs w:val="22"/>
          <w:lang w:val="en"/>
        </w:rPr>
        <w:t xml:space="preserve"> </w:t>
      </w:r>
      <w:r w:rsidR="0003400E" w:rsidRPr="001257E7">
        <w:rPr>
          <w:rFonts w:ascii="Times New Roman" w:hAnsi="Times New Roman" w:cs="Times New Roman"/>
          <w:b/>
          <w:bCs/>
          <w:sz w:val="22"/>
          <w:szCs w:val="22"/>
          <w:lang w:val="en"/>
        </w:rPr>
        <w:t xml:space="preserve">Table 5. </w:t>
      </w:r>
      <w:r w:rsidR="0003400E" w:rsidRPr="001257E7">
        <w:rPr>
          <w:rFonts w:ascii="Times New Roman" w:hAnsi="Times New Roman" w:cs="Times New Roman"/>
          <w:b/>
          <w:bCs/>
          <w:i/>
          <w:iCs/>
          <w:sz w:val="22"/>
          <w:szCs w:val="22"/>
          <w:lang w:val="en"/>
        </w:rPr>
        <w:t>Cost-effectiveness Grid</w:t>
      </w:r>
      <w:r w:rsidR="0003400E" w:rsidRPr="001257E7">
        <w:rPr>
          <w:rFonts w:ascii="Times New Roman" w:hAnsi="Times New Roman" w:cs="Times New Roman"/>
          <w:b/>
          <w:bCs/>
          <w:sz w:val="22"/>
          <w:szCs w:val="22"/>
          <w:lang w:val="en"/>
        </w:rPr>
        <w:t xml:space="preserve"> Use of Favipiravir group with Remdesivir group based on Length of Hospitalization and Duration of disappearance of COVID-19 symptoms</w:t>
      </w:r>
    </w:p>
    <w:p w14:paraId="4403E799" w14:textId="64D8A53B" w:rsidR="00F72CB5" w:rsidRDefault="00F72CB5" w:rsidP="00F72CB5">
      <w:pPr>
        <w:jc w:val="center"/>
        <w:rPr>
          <w:rFonts w:ascii="Times New Roman" w:hAnsi="Times New Roman" w:cs="Times New Roman"/>
          <w:b/>
          <w:bCs/>
          <w:sz w:val="22"/>
          <w:szCs w:val="22"/>
          <w:lang w:val="en"/>
        </w:rPr>
      </w:pPr>
    </w:p>
    <w:p w14:paraId="6647C1AA" w14:textId="69DD92E9" w:rsidR="00F72CB5" w:rsidRDefault="00F72CB5" w:rsidP="00F72CB5">
      <w:pPr>
        <w:jc w:val="center"/>
        <w:rPr>
          <w:rFonts w:ascii="Times New Roman" w:hAnsi="Times New Roman" w:cs="Times New Roman"/>
          <w:b/>
          <w:bCs/>
          <w:sz w:val="22"/>
          <w:szCs w:val="22"/>
          <w:lang w:val="en"/>
        </w:rPr>
      </w:pPr>
    </w:p>
    <w:p w14:paraId="7459F405" w14:textId="39F35BED" w:rsidR="00F72CB5" w:rsidRDefault="00F72CB5" w:rsidP="00F72CB5">
      <w:pPr>
        <w:jc w:val="center"/>
        <w:rPr>
          <w:rFonts w:ascii="Times New Roman" w:hAnsi="Times New Roman" w:cs="Times New Roman"/>
          <w:b/>
          <w:bCs/>
          <w:sz w:val="22"/>
          <w:szCs w:val="22"/>
          <w:lang w:val="en"/>
        </w:rPr>
      </w:pPr>
    </w:p>
    <w:p w14:paraId="481A7388" w14:textId="39CEF97B" w:rsidR="00F72CB5" w:rsidRDefault="00F72CB5" w:rsidP="00F72CB5">
      <w:pPr>
        <w:jc w:val="center"/>
        <w:rPr>
          <w:rFonts w:ascii="Times New Roman" w:hAnsi="Times New Roman" w:cs="Times New Roman"/>
          <w:b/>
          <w:bCs/>
          <w:sz w:val="22"/>
          <w:szCs w:val="22"/>
          <w:lang w:val="en"/>
        </w:rPr>
      </w:pPr>
    </w:p>
    <w:p w14:paraId="5445ABB0" w14:textId="0FD86E22" w:rsidR="00F72CB5" w:rsidRDefault="00F72CB5" w:rsidP="00F72CB5">
      <w:pPr>
        <w:jc w:val="center"/>
        <w:rPr>
          <w:rFonts w:ascii="Times New Roman" w:hAnsi="Times New Roman" w:cs="Times New Roman"/>
          <w:b/>
          <w:bCs/>
          <w:sz w:val="22"/>
          <w:szCs w:val="22"/>
          <w:lang w:val="en"/>
        </w:rPr>
      </w:pPr>
    </w:p>
    <w:p w14:paraId="7D05D71B" w14:textId="641A0EF5" w:rsidR="00F72CB5" w:rsidRDefault="00F72CB5" w:rsidP="00F72CB5">
      <w:pPr>
        <w:jc w:val="center"/>
        <w:rPr>
          <w:rFonts w:ascii="Times New Roman" w:hAnsi="Times New Roman" w:cs="Times New Roman"/>
          <w:b/>
          <w:bCs/>
          <w:sz w:val="22"/>
          <w:szCs w:val="22"/>
          <w:lang w:val="en"/>
        </w:rPr>
      </w:pPr>
    </w:p>
    <w:p w14:paraId="56BCB96D" w14:textId="21225E12" w:rsidR="00F72CB5" w:rsidRDefault="00F72CB5" w:rsidP="00F72CB5">
      <w:pPr>
        <w:jc w:val="center"/>
        <w:rPr>
          <w:rFonts w:ascii="Times New Roman" w:hAnsi="Times New Roman" w:cs="Times New Roman"/>
          <w:b/>
          <w:bCs/>
          <w:sz w:val="22"/>
          <w:szCs w:val="22"/>
          <w:lang w:val="en"/>
        </w:rPr>
      </w:pPr>
    </w:p>
    <w:p w14:paraId="3E7F995A" w14:textId="402AF01B" w:rsidR="00F72CB5" w:rsidRDefault="00F72CB5" w:rsidP="00F72CB5">
      <w:pPr>
        <w:jc w:val="center"/>
        <w:rPr>
          <w:rFonts w:ascii="Times New Roman" w:hAnsi="Times New Roman" w:cs="Times New Roman"/>
          <w:b/>
          <w:bCs/>
          <w:sz w:val="22"/>
          <w:szCs w:val="22"/>
          <w:lang w:val="en"/>
        </w:rPr>
      </w:pPr>
    </w:p>
    <w:p w14:paraId="4A4A108D" w14:textId="1669DBC6" w:rsidR="00F72CB5" w:rsidRDefault="00F72CB5" w:rsidP="00F72CB5">
      <w:pPr>
        <w:jc w:val="center"/>
        <w:rPr>
          <w:rFonts w:ascii="Times New Roman" w:hAnsi="Times New Roman" w:cs="Times New Roman"/>
          <w:b/>
          <w:bCs/>
          <w:sz w:val="22"/>
          <w:szCs w:val="22"/>
          <w:lang w:val="en"/>
        </w:rPr>
      </w:pPr>
    </w:p>
    <w:p w14:paraId="7620F9A4" w14:textId="77777777" w:rsidR="00F72CB5" w:rsidRPr="001257E7" w:rsidRDefault="00F72CB5" w:rsidP="00F72CB5">
      <w:pPr>
        <w:jc w:val="center"/>
        <w:rPr>
          <w:rFonts w:ascii="Times New Roman" w:hAnsi="Times New Roman" w:cs="Times New Roman"/>
          <w:b/>
          <w:bCs/>
          <w:sz w:val="22"/>
          <w:szCs w:val="22"/>
        </w:rPr>
      </w:pPr>
    </w:p>
    <w:p w14:paraId="407BB89F" w14:textId="14763B2A" w:rsidR="00DC4C0A" w:rsidRPr="001257E7" w:rsidRDefault="0003400E" w:rsidP="00F72CB5">
      <w:pPr>
        <w:jc w:val="center"/>
        <w:rPr>
          <w:rFonts w:ascii="Times New Roman" w:hAnsi="Times New Roman" w:cs="Times New Roman"/>
          <w:b/>
          <w:bCs/>
          <w:sz w:val="22"/>
          <w:szCs w:val="22"/>
        </w:rPr>
      </w:pPr>
      <w:r w:rsidRPr="001257E7">
        <w:rPr>
          <w:rFonts w:ascii="Times New Roman" w:hAnsi="Times New Roman" w:cs="Times New Roman"/>
          <w:noProof/>
          <w:sz w:val="22"/>
          <w:szCs w:val="22"/>
        </w:rPr>
        <w:lastRenderedPageBreak/>
        <w:drawing>
          <wp:inline distT="0" distB="0" distL="0" distR="0" wp14:anchorId="16C87022" wp14:editId="3E61D33D">
            <wp:extent cx="5036185" cy="3368233"/>
            <wp:effectExtent l="0" t="0" r="18415" b="10160"/>
            <wp:docPr id="5" name="Chart 5">
              <a:extLst xmlns:a="http://schemas.openxmlformats.org/drawingml/2006/main">
                <a:ext uri="{FF2B5EF4-FFF2-40B4-BE49-F238E27FC236}">
                  <a16:creationId xmlns:a16="http://schemas.microsoft.com/office/drawing/2014/main" id="{BB703DF1-CC7F-BD65-CA10-0603F0A3E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36ACF2" w14:textId="1E829635" w:rsidR="006B267F" w:rsidRPr="001257E7" w:rsidRDefault="006B267F" w:rsidP="00F72CB5">
      <w:pPr>
        <w:jc w:val="center"/>
        <w:rPr>
          <w:rFonts w:ascii="Times New Roman" w:hAnsi="Times New Roman" w:cs="Times New Roman"/>
          <w:b/>
          <w:bCs/>
          <w:sz w:val="22"/>
          <w:szCs w:val="22"/>
        </w:rPr>
      </w:pPr>
      <w:r w:rsidRPr="001257E7">
        <w:rPr>
          <w:rFonts w:ascii="Times New Roman" w:hAnsi="Times New Roman" w:cs="Times New Roman"/>
          <w:b/>
          <w:bCs/>
          <w:sz w:val="22"/>
          <w:szCs w:val="22"/>
          <w:lang w:val="en"/>
        </w:rPr>
        <w:t>Figure 1</w:t>
      </w:r>
      <w:r w:rsidR="00CE4EA5" w:rsidRPr="001257E7">
        <w:rPr>
          <w:rFonts w:ascii="Times New Roman" w:hAnsi="Times New Roman" w:cs="Times New Roman"/>
          <w:b/>
          <w:bCs/>
          <w:sz w:val="22"/>
          <w:szCs w:val="22"/>
          <w:lang w:val="en"/>
        </w:rPr>
        <w:t>.</w:t>
      </w:r>
      <w:r w:rsidR="001257E7">
        <w:rPr>
          <w:rFonts w:ascii="Times New Roman" w:hAnsi="Times New Roman" w:cs="Times New Roman"/>
          <w:sz w:val="22"/>
          <w:szCs w:val="22"/>
          <w:lang w:val="en"/>
        </w:rPr>
        <w:t xml:space="preserve"> </w:t>
      </w:r>
      <w:r w:rsidRPr="001257E7">
        <w:rPr>
          <w:rFonts w:ascii="Times New Roman" w:hAnsi="Times New Roman" w:cs="Times New Roman"/>
          <w:b/>
          <w:bCs/>
          <w:i/>
          <w:iCs/>
          <w:sz w:val="22"/>
          <w:szCs w:val="22"/>
          <w:lang w:val="en"/>
        </w:rPr>
        <w:t>Cost-effectiveness Grid</w:t>
      </w:r>
      <w:r w:rsidRPr="001257E7">
        <w:rPr>
          <w:rFonts w:ascii="Times New Roman" w:hAnsi="Times New Roman" w:cs="Times New Roman"/>
          <w:b/>
          <w:bCs/>
          <w:sz w:val="22"/>
          <w:szCs w:val="22"/>
          <w:lang w:val="en"/>
        </w:rPr>
        <w:t xml:space="preserve"> Use of Favipiravir group with Remdesivir group based on Length of Hospitalization.</w:t>
      </w:r>
    </w:p>
    <w:p w14:paraId="509677E0" w14:textId="54C78136" w:rsidR="00CE4EA5" w:rsidRDefault="00CE4EA5" w:rsidP="001257E7">
      <w:pPr>
        <w:jc w:val="center"/>
        <w:rPr>
          <w:rFonts w:ascii="Times New Roman" w:hAnsi="Times New Roman" w:cs="Times New Roman"/>
          <w:b/>
          <w:bCs/>
          <w:sz w:val="22"/>
          <w:szCs w:val="22"/>
        </w:rPr>
      </w:pPr>
    </w:p>
    <w:p w14:paraId="04B4DECB" w14:textId="29D3D3FC" w:rsidR="00F72CB5" w:rsidRDefault="00F72CB5" w:rsidP="001257E7">
      <w:pPr>
        <w:jc w:val="center"/>
        <w:rPr>
          <w:rFonts w:ascii="Times New Roman" w:hAnsi="Times New Roman" w:cs="Times New Roman"/>
          <w:b/>
          <w:bCs/>
          <w:sz w:val="22"/>
          <w:szCs w:val="22"/>
        </w:rPr>
      </w:pPr>
    </w:p>
    <w:p w14:paraId="3E7833E7" w14:textId="77777777" w:rsidR="00F72CB5" w:rsidRPr="001257E7" w:rsidRDefault="00F72CB5" w:rsidP="001257E7">
      <w:pPr>
        <w:jc w:val="center"/>
        <w:rPr>
          <w:rFonts w:ascii="Times New Roman" w:hAnsi="Times New Roman" w:cs="Times New Roman"/>
          <w:b/>
          <w:bCs/>
          <w:sz w:val="22"/>
          <w:szCs w:val="22"/>
        </w:rPr>
      </w:pPr>
    </w:p>
    <w:p w14:paraId="13996C44" w14:textId="4BAA760F" w:rsidR="00CE4EA5" w:rsidRPr="001257E7" w:rsidRDefault="0066065B" w:rsidP="00F72CB5">
      <w:pPr>
        <w:tabs>
          <w:tab w:val="left" w:pos="7451"/>
        </w:tabs>
        <w:jc w:val="center"/>
        <w:rPr>
          <w:rFonts w:ascii="Times New Roman" w:hAnsi="Times New Roman" w:cs="Times New Roman"/>
          <w:b/>
          <w:bCs/>
          <w:sz w:val="22"/>
          <w:szCs w:val="22"/>
        </w:rPr>
      </w:pPr>
      <w:r w:rsidRPr="001257E7">
        <w:rPr>
          <w:rFonts w:ascii="Times New Roman" w:hAnsi="Times New Roman" w:cs="Times New Roman"/>
          <w:b/>
          <w:bCs/>
          <w:sz w:val="22"/>
          <w:szCs w:val="22"/>
          <w:lang w:val="en"/>
        </w:rPr>
        <w:t>Table</w:t>
      </w:r>
      <w:r w:rsidR="00CE4EA5" w:rsidRPr="001257E7">
        <w:rPr>
          <w:rFonts w:ascii="Times New Roman" w:hAnsi="Times New Roman" w:cs="Times New Roman"/>
          <w:b/>
          <w:bCs/>
          <w:sz w:val="22"/>
          <w:szCs w:val="22"/>
          <w:lang w:val="en"/>
        </w:rPr>
        <w:t xml:space="preserve"> 6.</w:t>
      </w:r>
      <w:r w:rsidR="001257E7">
        <w:rPr>
          <w:rFonts w:ascii="Times New Roman" w:hAnsi="Times New Roman" w:cs="Times New Roman"/>
          <w:sz w:val="22"/>
          <w:szCs w:val="22"/>
          <w:lang w:val="en"/>
        </w:rPr>
        <w:t xml:space="preserve"> </w:t>
      </w:r>
      <w:r w:rsidRPr="001257E7">
        <w:rPr>
          <w:rFonts w:ascii="Times New Roman" w:hAnsi="Times New Roman" w:cs="Times New Roman"/>
          <w:b/>
          <w:bCs/>
          <w:sz w:val="22"/>
          <w:szCs w:val="22"/>
          <w:lang w:val="en"/>
        </w:rPr>
        <w:t>Simulation of Average Cost Against ACER Sensitivity using Favipiravir and Remdesivir Based on Length of Hospitalization.</w:t>
      </w:r>
    </w:p>
    <w:tbl>
      <w:tblPr>
        <w:tblStyle w:val="TabelBiasa2"/>
        <w:tblpPr w:leftFromText="180" w:rightFromText="180" w:vertAnchor="text" w:horzAnchor="margin" w:tblpXSpec="center" w:tblpY="12"/>
        <w:tblW w:w="7938" w:type="dxa"/>
        <w:tblLook w:val="04A0" w:firstRow="1" w:lastRow="0" w:firstColumn="1" w:lastColumn="0" w:noHBand="0" w:noVBand="1"/>
      </w:tblPr>
      <w:tblGrid>
        <w:gridCol w:w="2835"/>
        <w:gridCol w:w="2694"/>
        <w:gridCol w:w="2409"/>
      </w:tblGrid>
      <w:tr w:rsidR="00F72CB5" w:rsidRPr="001257E7" w14:paraId="7C777B55" w14:textId="77777777" w:rsidTr="00F72CB5">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835" w:type="dxa"/>
            <w:vAlign w:val="bottom"/>
          </w:tcPr>
          <w:p w14:paraId="4DBC3D68" w14:textId="77777777" w:rsidR="00F72CB5" w:rsidRPr="001257E7" w:rsidRDefault="00F72CB5" w:rsidP="00F72CB5">
            <w:pPr>
              <w:tabs>
                <w:tab w:val="left" w:pos="851"/>
              </w:tabs>
              <w:jc w:val="center"/>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Average Medical Costs</w:t>
            </w:r>
          </w:p>
        </w:tc>
        <w:tc>
          <w:tcPr>
            <w:tcW w:w="2694" w:type="dxa"/>
          </w:tcPr>
          <w:p w14:paraId="498CAE20" w14:textId="77777777" w:rsidR="00F72CB5" w:rsidRPr="001257E7" w:rsidRDefault="00F72CB5" w:rsidP="00F72CB5">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Remdesivir Group</w:t>
            </w:r>
          </w:p>
        </w:tc>
        <w:tc>
          <w:tcPr>
            <w:tcW w:w="2409" w:type="dxa"/>
          </w:tcPr>
          <w:p w14:paraId="3500D851" w14:textId="77777777" w:rsidR="00F72CB5" w:rsidRPr="001257E7" w:rsidRDefault="00F72CB5" w:rsidP="00F72CB5">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Favipiravir Group</w:t>
            </w:r>
          </w:p>
        </w:tc>
      </w:tr>
      <w:tr w:rsidR="00F72CB5" w:rsidRPr="001257E7" w14:paraId="7736547B" w14:textId="77777777" w:rsidTr="00F72CB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938" w:type="dxa"/>
            <w:gridSpan w:val="3"/>
            <w:vAlign w:val="center"/>
          </w:tcPr>
          <w:p w14:paraId="0EC358E7" w14:textId="77777777" w:rsidR="00F72CB5" w:rsidRPr="001257E7" w:rsidRDefault="00F72CB5" w:rsidP="00F72CB5">
            <w:pPr>
              <w:tabs>
                <w:tab w:val="left" w:pos="851"/>
              </w:tabs>
              <w:jc w:val="center"/>
              <w:rPr>
                <w:rFonts w:ascii="Times New Roman" w:hAnsi="Times New Roman" w:cs="Times New Roman"/>
                <w:b w:val="0"/>
                <w:bCs w:val="0"/>
                <w:color w:val="000000"/>
                <w:sz w:val="22"/>
                <w:szCs w:val="22"/>
              </w:rPr>
            </w:pPr>
            <w:r w:rsidRPr="001257E7">
              <w:rPr>
                <w:rFonts w:ascii="Times New Roman" w:hAnsi="Times New Roman" w:cs="Times New Roman"/>
                <w:color w:val="000000"/>
                <w:sz w:val="22"/>
                <w:szCs w:val="22"/>
                <w:lang w:val="en"/>
              </w:rPr>
              <w:t>Early ACER</w:t>
            </w:r>
          </w:p>
        </w:tc>
      </w:tr>
      <w:tr w:rsidR="00F72CB5" w:rsidRPr="001257E7" w14:paraId="53DA137E" w14:textId="77777777" w:rsidTr="00F72CB5">
        <w:trPr>
          <w:trHeight w:val="371"/>
        </w:trPr>
        <w:tc>
          <w:tcPr>
            <w:cnfStyle w:val="001000000000" w:firstRow="0" w:lastRow="0" w:firstColumn="1" w:lastColumn="0" w:oddVBand="0" w:evenVBand="0" w:oddHBand="0" w:evenHBand="0" w:firstRowFirstColumn="0" w:firstRowLastColumn="0" w:lastRowFirstColumn="0" w:lastRowLastColumn="0"/>
            <w:tcW w:w="2835" w:type="dxa"/>
            <w:vAlign w:val="bottom"/>
          </w:tcPr>
          <w:p w14:paraId="7A53E638" w14:textId="77777777" w:rsidR="00F72CB5" w:rsidRPr="00F72CB5" w:rsidRDefault="00F72CB5" w:rsidP="00F72CB5">
            <w:pPr>
              <w:tabs>
                <w:tab w:val="left" w:pos="851"/>
              </w:tabs>
              <w:jc w:val="center"/>
              <w:rPr>
                <w:rFonts w:ascii="Times New Roman" w:hAnsi="Times New Roman" w:cs="Times New Roman"/>
                <w:b w:val="0"/>
                <w:bCs w:val="0"/>
                <w:color w:val="000000"/>
                <w:sz w:val="22"/>
                <w:szCs w:val="22"/>
              </w:rPr>
            </w:pPr>
            <w:r w:rsidRPr="00F72CB5">
              <w:rPr>
                <w:rFonts w:ascii="Times New Roman" w:hAnsi="Times New Roman" w:cs="Times New Roman"/>
                <w:b w:val="0"/>
                <w:bCs w:val="0"/>
                <w:color w:val="000000"/>
                <w:sz w:val="22"/>
                <w:szCs w:val="22"/>
                <w:lang w:val="en"/>
              </w:rPr>
              <w:t>ACER (C/E)</w:t>
            </w:r>
          </w:p>
        </w:tc>
        <w:tc>
          <w:tcPr>
            <w:tcW w:w="2694" w:type="dxa"/>
            <w:vAlign w:val="bottom"/>
          </w:tcPr>
          <w:p w14:paraId="7FB3F624" w14:textId="77777777" w:rsidR="00F72CB5" w:rsidRPr="00F72CB5" w:rsidRDefault="00F72CB5" w:rsidP="00F72CB5">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F72CB5">
              <w:rPr>
                <w:rFonts w:ascii="Times New Roman" w:hAnsi="Times New Roman" w:cs="Times New Roman"/>
                <w:color w:val="000000"/>
                <w:sz w:val="22"/>
                <w:szCs w:val="22"/>
                <w:lang w:val="en"/>
              </w:rPr>
              <w:t>3,311,510.74 /day</w:t>
            </w:r>
          </w:p>
        </w:tc>
        <w:tc>
          <w:tcPr>
            <w:tcW w:w="2409" w:type="dxa"/>
            <w:vAlign w:val="bottom"/>
          </w:tcPr>
          <w:p w14:paraId="35F6B066" w14:textId="77777777" w:rsidR="00F72CB5" w:rsidRPr="00F72CB5" w:rsidRDefault="00F72CB5" w:rsidP="00F72CB5">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F72CB5">
              <w:rPr>
                <w:rFonts w:ascii="Times New Roman" w:hAnsi="Times New Roman" w:cs="Times New Roman"/>
                <w:color w:val="000000"/>
                <w:sz w:val="22"/>
                <w:szCs w:val="22"/>
                <w:lang w:val="en"/>
              </w:rPr>
              <w:t xml:space="preserve"> 2,820,601.63/day</w:t>
            </w:r>
          </w:p>
        </w:tc>
      </w:tr>
      <w:tr w:rsidR="00F72CB5" w:rsidRPr="001257E7" w14:paraId="300EC2CD" w14:textId="77777777" w:rsidTr="00F72CB5">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938" w:type="dxa"/>
            <w:gridSpan w:val="3"/>
            <w:vAlign w:val="center"/>
          </w:tcPr>
          <w:p w14:paraId="702AABD3" w14:textId="77777777" w:rsidR="00F72CB5" w:rsidRPr="00F72CB5" w:rsidRDefault="00F72CB5" w:rsidP="00F72CB5">
            <w:pPr>
              <w:tabs>
                <w:tab w:val="left" w:pos="851"/>
              </w:tabs>
              <w:jc w:val="center"/>
              <w:rPr>
                <w:rFonts w:ascii="Times New Roman" w:hAnsi="Times New Roman" w:cs="Times New Roman"/>
                <w:b w:val="0"/>
                <w:bCs w:val="0"/>
                <w:sz w:val="22"/>
                <w:szCs w:val="22"/>
                <w:lang w:val="en-US"/>
              </w:rPr>
            </w:pPr>
            <w:r w:rsidRPr="00F72CB5">
              <w:rPr>
                <w:rFonts w:ascii="Times New Roman" w:hAnsi="Times New Roman" w:cs="Times New Roman"/>
                <w:b w:val="0"/>
                <w:bCs w:val="0"/>
                <w:color w:val="000000"/>
                <w:sz w:val="22"/>
                <w:szCs w:val="22"/>
                <w:lang w:val="en"/>
              </w:rPr>
              <w:t>ACER no action fee</w:t>
            </w:r>
          </w:p>
        </w:tc>
      </w:tr>
      <w:tr w:rsidR="00F72CB5" w:rsidRPr="001257E7" w14:paraId="3464420C" w14:textId="77777777" w:rsidTr="00F72CB5">
        <w:trPr>
          <w:trHeight w:val="72"/>
        </w:trPr>
        <w:tc>
          <w:tcPr>
            <w:cnfStyle w:val="001000000000" w:firstRow="0" w:lastRow="0" w:firstColumn="1" w:lastColumn="0" w:oddVBand="0" w:evenVBand="0" w:oddHBand="0" w:evenHBand="0" w:firstRowFirstColumn="0" w:firstRowLastColumn="0" w:lastRowFirstColumn="0" w:lastRowLastColumn="0"/>
            <w:tcW w:w="2835" w:type="dxa"/>
            <w:vAlign w:val="bottom"/>
          </w:tcPr>
          <w:p w14:paraId="415403C5" w14:textId="77777777" w:rsidR="00F72CB5" w:rsidRPr="00F72CB5" w:rsidRDefault="00F72CB5" w:rsidP="00F72CB5">
            <w:pPr>
              <w:tabs>
                <w:tab w:val="left" w:pos="851"/>
              </w:tabs>
              <w:jc w:val="center"/>
              <w:rPr>
                <w:rFonts w:ascii="Times New Roman" w:hAnsi="Times New Roman" w:cs="Times New Roman"/>
                <w:b w:val="0"/>
                <w:bCs w:val="0"/>
                <w:color w:val="000000"/>
                <w:sz w:val="22"/>
                <w:szCs w:val="22"/>
              </w:rPr>
            </w:pPr>
            <w:r w:rsidRPr="00F72CB5">
              <w:rPr>
                <w:rFonts w:ascii="Times New Roman" w:hAnsi="Times New Roman" w:cs="Times New Roman"/>
                <w:b w:val="0"/>
                <w:bCs w:val="0"/>
                <w:color w:val="000000"/>
                <w:sz w:val="22"/>
                <w:szCs w:val="22"/>
                <w:lang w:val="en"/>
              </w:rPr>
              <w:t>ACER (C/E)</w:t>
            </w:r>
          </w:p>
        </w:tc>
        <w:tc>
          <w:tcPr>
            <w:tcW w:w="2694" w:type="dxa"/>
            <w:vAlign w:val="bottom"/>
          </w:tcPr>
          <w:p w14:paraId="4F21797A" w14:textId="77777777" w:rsidR="00F72CB5" w:rsidRPr="00F72CB5" w:rsidRDefault="00F72CB5" w:rsidP="00F72C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F72CB5">
              <w:rPr>
                <w:rFonts w:ascii="Times New Roman" w:hAnsi="Times New Roman" w:cs="Times New Roman"/>
                <w:color w:val="000000"/>
                <w:sz w:val="22"/>
                <w:szCs w:val="22"/>
                <w:lang w:val="en"/>
              </w:rPr>
              <w:t>1,014,930.44 /day</w:t>
            </w:r>
          </w:p>
        </w:tc>
        <w:tc>
          <w:tcPr>
            <w:tcW w:w="2409" w:type="dxa"/>
            <w:vAlign w:val="bottom"/>
          </w:tcPr>
          <w:p w14:paraId="523E2026" w14:textId="77777777" w:rsidR="00F72CB5" w:rsidRPr="00F72CB5" w:rsidRDefault="00F72CB5" w:rsidP="00F72C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F72CB5">
              <w:rPr>
                <w:rFonts w:ascii="Times New Roman" w:hAnsi="Times New Roman" w:cs="Times New Roman"/>
                <w:color w:val="000000"/>
                <w:sz w:val="22"/>
                <w:szCs w:val="22"/>
                <w:lang w:val="en"/>
              </w:rPr>
              <w:t>1,187,703.80 /day</w:t>
            </w:r>
          </w:p>
        </w:tc>
      </w:tr>
      <w:tr w:rsidR="00F72CB5" w:rsidRPr="001257E7" w14:paraId="020C4FBD" w14:textId="77777777" w:rsidTr="00F72CB5">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7938" w:type="dxa"/>
            <w:gridSpan w:val="3"/>
            <w:vAlign w:val="center"/>
          </w:tcPr>
          <w:p w14:paraId="0546A3F3" w14:textId="77777777" w:rsidR="00F72CB5" w:rsidRPr="00F72CB5" w:rsidRDefault="00F72CB5" w:rsidP="00F72CB5">
            <w:pPr>
              <w:tabs>
                <w:tab w:val="left" w:pos="851"/>
              </w:tabs>
              <w:jc w:val="center"/>
              <w:rPr>
                <w:rFonts w:ascii="Times New Roman" w:hAnsi="Times New Roman" w:cs="Times New Roman"/>
                <w:b w:val="0"/>
                <w:bCs w:val="0"/>
                <w:color w:val="000000"/>
                <w:sz w:val="22"/>
                <w:szCs w:val="22"/>
              </w:rPr>
            </w:pPr>
            <w:r w:rsidRPr="00F72CB5">
              <w:rPr>
                <w:rFonts w:ascii="Times New Roman" w:hAnsi="Times New Roman" w:cs="Times New Roman"/>
                <w:b w:val="0"/>
                <w:bCs w:val="0"/>
                <w:color w:val="000000"/>
                <w:sz w:val="22"/>
                <w:szCs w:val="22"/>
                <w:lang w:val="en"/>
              </w:rPr>
              <w:t>ACER with no room usage fee</w:t>
            </w:r>
          </w:p>
        </w:tc>
      </w:tr>
      <w:tr w:rsidR="00F72CB5" w:rsidRPr="001257E7" w14:paraId="1A7941D7" w14:textId="77777777" w:rsidTr="00F72CB5">
        <w:trPr>
          <w:trHeight w:val="72"/>
        </w:trPr>
        <w:tc>
          <w:tcPr>
            <w:cnfStyle w:val="001000000000" w:firstRow="0" w:lastRow="0" w:firstColumn="1" w:lastColumn="0" w:oddVBand="0" w:evenVBand="0" w:oddHBand="0" w:evenHBand="0" w:firstRowFirstColumn="0" w:firstRowLastColumn="0" w:lastRowFirstColumn="0" w:lastRowLastColumn="0"/>
            <w:tcW w:w="2835" w:type="dxa"/>
            <w:vAlign w:val="bottom"/>
          </w:tcPr>
          <w:p w14:paraId="2D5BAA74" w14:textId="77777777" w:rsidR="00F72CB5" w:rsidRPr="00F72CB5" w:rsidRDefault="00F72CB5" w:rsidP="00F72CB5">
            <w:pPr>
              <w:tabs>
                <w:tab w:val="left" w:pos="851"/>
              </w:tabs>
              <w:jc w:val="center"/>
              <w:rPr>
                <w:rFonts w:ascii="Times New Roman" w:hAnsi="Times New Roman" w:cs="Times New Roman"/>
                <w:b w:val="0"/>
                <w:bCs w:val="0"/>
                <w:color w:val="000000"/>
                <w:sz w:val="22"/>
                <w:szCs w:val="22"/>
              </w:rPr>
            </w:pPr>
            <w:r w:rsidRPr="00F72CB5">
              <w:rPr>
                <w:rFonts w:ascii="Times New Roman" w:hAnsi="Times New Roman" w:cs="Times New Roman"/>
                <w:b w:val="0"/>
                <w:bCs w:val="0"/>
                <w:color w:val="000000"/>
                <w:sz w:val="22"/>
                <w:szCs w:val="22"/>
                <w:lang w:val="en"/>
              </w:rPr>
              <w:t>ACER (C/E)</w:t>
            </w:r>
          </w:p>
        </w:tc>
        <w:tc>
          <w:tcPr>
            <w:tcW w:w="2694" w:type="dxa"/>
            <w:vAlign w:val="bottom"/>
          </w:tcPr>
          <w:p w14:paraId="30A6DEBD" w14:textId="77777777" w:rsidR="00F72CB5" w:rsidRPr="00F72CB5" w:rsidRDefault="00F72CB5" w:rsidP="00F72C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F72CB5">
              <w:rPr>
                <w:rFonts w:ascii="Times New Roman" w:hAnsi="Times New Roman" w:cs="Times New Roman"/>
                <w:color w:val="000000"/>
                <w:sz w:val="22"/>
                <w:szCs w:val="22"/>
                <w:lang w:val="en"/>
              </w:rPr>
              <w:t>3,149,601.00 /day</w:t>
            </w:r>
          </w:p>
        </w:tc>
        <w:tc>
          <w:tcPr>
            <w:tcW w:w="2409" w:type="dxa"/>
            <w:vAlign w:val="bottom"/>
          </w:tcPr>
          <w:p w14:paraId="0CBBC4CA" w14:textId="77777777" w:rsidR="00F72CB5" w:rsidRPr="00F72CB5" w:rsidRDefault="00F72CB5" w:rsidP="00F72C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F72CB5">
              <w:rPr>
                <w:rFonts w:ascii="Times New Roman" w:hAnsi="Times New Roman" w:cs="Times New Roman"/>
                <w:color w:val="000000"/>
                <w:sz w:val="22"/>
                <w:szCs w:val="22"/>
                <w:lang w:val="en"/>
              </w:rPr>
              <w:t xml:space="preserve"> 2,659,501.85 /day</w:t>
            </w:r>
          </w:p>
        </w:tc>
      </w:tr>
      <w:tr w:rsidR="00F72CB5" w:rsidRPr="001257E7" w14:paraId="763F02FE" w14:textId="77777777" w:rsidTr="00F72CB5">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7938" w:type="dxa"/>
            <w:gridSpan w:val="3"/>
            <w:vAlign w:val="center"/>
          </w:tcPr>
          <w:p w14:paraId="38DFA162" w14:textId="77777777" w:rsidR="00F72CB5" w:rsidRPr="00F72CB5" w:rsidRDefault="00F72CB5" w:rsidP="00F72CB5">
            <w:pPr>
              <w:tabs>
                <w:tab w:val="left" w:pos="851"/>
              </w:tabs>
              <w:jc w:val="center"/>
              <w:rPr>
                <w:rFonts w:ascii="Times New Roman" w:hAnsi="Times New Roman" w:cs="Times New Roman"/>
                <w:b w:val="0"/>
                <w:bCs w:val="0"/>
                <w:color w:val="000000"/>
                <w:sz w:val="22"/>
                <w:szCs w:val="22"/>
              </w:rPr>
            </w:pPr>
            <w:r w:rsidRPr="00F72CB5">
              <w:rPr>
                <w:rFonts w:ascii="Times New Roman" w:hAnsi="Times New Roman" w:cs="Times New Roman"/>
                <w:b w:val="0"/>
                <w:bCs w:val="0"/>
                <w:color w:val="000000"/>
                <w:sz w:val="22"/>
                <w:szCs w:val="22"/>
                <w:lang w:val="en"/>
              </w:rPr>
              <w:t>ACER with no room usage fees and action fees</w:t>
            </w:r>
          </w:p>
        </w:tc>
      </w:tr>
      <w:tr w:rsidR="00F72CB5" w:rsidRPr="001257E7" w14:paraId="731954FA" w14:textId="77777777" w:rsidTr="00F72CB5">
        <w:trPr>
          <w:trHeight w:val="72"/>
        </w:trPr>
        <w:tc>
          <w:tcPr>
            <w:cnfStyle w:val="001000000000" w:firstRow="0" w:lastRow="0" w:firstColumn="1" w:lastColumn="0" w:oddVBand="0" w:evenVBand="0" w:oddHBand="0" w:evenHBand="0" w:firstRowFirstColumn="0" w:firstRowLastColumn="0" w:lastRowFirstColumn="0" w:lastRowLastColumn="0"/>
            <w:tcW w:w="2835" w:type="dxa"/>
            <w:vAlign w:val="bottom"/>
          </w:tcPr>
          <w:p w14:paraId="6A62B4AB" w14:textId="77777777" w:rsidR="00F72CB5" w:rsidRPr="00F72CB5" w:rsidRDefault="00F72CB5" w:rsidP="00F72CB5">
            <w:pPr>
              <w:tabs>
                <w:tab w:val="left" w:pos="851"/>
              </w:tabs>
              <w:jc w:val="center"/>
              <w:rPr>
                <w:rFonts w:ascii="Times New Roman" w:hAnsi="Times New Roman" w:cs="Times New Roman"/>
                <w:b w:val="0"/>
                <w:bCs w:val="0"/>
                <w:color w:val="000000"/>
                <w:sz w:val="22"/>
                <w:szCs w:val="22"/>
              </w:rPr>
            </w:pPr>
            <w:r w:rsidRPr="00F72CB5">
              <w:rPr>
                <w:rFonts w:ascii="Times New Roman" w:hAnsi="Times New Roman" w:cs="Times New Roman"/>
                <w:b w:val="0"/>
                <w:bCs w:val="0"/>
                <w:color w:val="000000"/>
                <w:sz w:val="22"/>
                <w:szCs w:val="22"/>
                <w:lang w:val="en"/>
              </w:rPr>
              <w:t>ACER (C/E)</w:t>
            </w:r>
          </w:p>
        </w:tc>
        <w:tc>
          <w:tcPr>
            <w:tcW w:w="2694" w:type="dxa"/>
            <w:vAlign w:val="bottom"/>
          </w:tcPr>
          <w:p w14:paraId="67BA01A0" w14:textId="77777777" w:rsidR="00F72CB5" w:rsidRPr="00F72CB5" w:rsidRDefault="00F72CB5" w:rsidP="00F72CB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F72CB5">
              <w:rPr>
                <w:rFonts w:ascii="Times New Roman" w:hAnsi="Times New Roman" w:cs="Times New Roman"/>
                <w:color w:val="000000"/>
                <w:sz w:val="22"/>
                <w:szCs w:val="22"/>
                <w:lang w:val="en"/>
              </w:rPr>
              <w:t>1,436,508.86 /day</w:t>
            </w:r>
          </w:p>
        </w:tc>
        <w:tc>
          <w:tcPr>
            <w:tcW w:w="2409" w:type="dxa"/>
            <w:vAlign w:val="bottom"/>
          </w:tcPr>
          <w:p w14:paraId="65DD3A7A" w14:textId="77777777" w:rsidR="00F72CB5" w:rsidRPr="00F72CB5" w:rsidRDefault="00F72CB5" w:rsidP="00F72C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F72CB5">
              <w:rPr>
                <w:rFonts w:ascii="Times New Roman" w:hAnsi="Times New Roman" w:cs="Times New Roman"/>
                <w:color w:val="000000"/>
                <w:sz w:val="22"/>
                <w:szCs w:val="22"/>
                <w:lang w:val="en"/>
              </w:rPr>
              <w:t xml:space="preserve"> 1,026,604.02 /day</w:t>
            </w:r>
          </w:p>
        </w:tc>
      </w:tr>
    </w:tbl>
    <w:p w14:paraId="5D1955A8" w14:textId="77777777" w:rsidR="00F72CB5" w:rsidRDefault="00F72CB5" w:rsidP="001257E7">
      <w:pPr>
        <w:tabs>
          <w:tab w:val="left" w:pos="7451"/>
        </w:tabs>
        <w:jc w:val="both"/>
        <w:rPr>
          <w:rFonts w:ascii="Times New Roman" w:hAnsi="Times New Roman" w:cs="Times New Roman"/>
          <w:b/>
          <w:bCs/>
          <w:sz w:val="22"/>
          <w:szCs w:val="22"/>
          <w:lang w:val="en"/>
        </w:rPr>
      </w:pPr>
    </w:p>
    <w:p w14:paraId="53D04743" w14:textId="246BF817" w:rsidR="00CE4EA5" w:rsidRPr="001257E7" w:rsidRDefault="00F72CB5" w:rsidP="001257E7">
      <w:pPr>
        <w:tabs>
          <w:tab w:val="left" w:pos="7451"/>
        </w:tabs>
        <w:jc w:val="both"/>
        <w:rPr>
          <w:rFonts w:ascii="Times New Roman" w:hAnsi="Times New Roman" w:cs="Times New Roman"/>
          <w:b/>
          <w:bCs/>
          <w:sz w:val="22"/>
          <w:szCs w:val="22"/>
        </w:rPr>
      </w:pPr>
      <w:r w:rsidRPr="001257E7">
        <w:rPr>
          <w:rFonts w:ascii="Times New Roman" w:hAnsi="Times New Roman" w:cs="Times New Roman"/>
          <w:b/>
          <w:bCs/>
          <w:sz w:val="22"/>
          <w:szCs w:val="22"/>
          <w:lang w:val="en"/>
        </w:rPr>
        <w:t xml:space="preserve"> </w:t>
      </w:r>
      <w:r w:rsidR="00CE4EA5" w:rsidRPr="001257E7">
        <w:rPr>
          <w:rFonts w:ascii="Times New Roman" w:hAnsi="Times New Roman" w:cs="Times New Roman"/>
          <w:b/>
          <w:bCs/>
          <w:sz w:val="22"/>
          <w:szCs w:val="22"/>
          <w:lang w:val="en"/>
        </w:rPr>
        <w:t xml:space="preserve">3.5 </w:t>
      </w:r>
      <w:r w:rsidR="00CE4EA5" w:rsidRPr="001257E7">
        <w:rPr>
          <w:rFonts w:ascii="Times New Roman" w:hAnsi="Times New Roman" w:cs="Times New Roman"/>
          <w:b/>
          <w:bCs/>
          <w:color w:val="000000"/>
          <w:sz w:val="22"/>
          <w:szCs w:val="22"/>
          <w:lang w:val="en"/>
        </w:rPr>
        <w:t>SENSITIVITY ANALYSIS</w:t>
      </w:r>
    </w:p>
    <w:p w14:paraId="78B173FE" w14:textId="22619BD9" w:rsidR="00CE4EA5" w:rsidRPr="001257E7" w:rsidRDefault="00CE4EA5" w:rsidP="001257E7">
      <w:pPr>
        <w:ind w:firstLine="720"/>
        <w:jc w:val="both"/>
        <w:rPr>
          <w:rFonts w:ascii="Times New Roman" w:hAnsi="Times New Roman" w:cs="Times New Roman"/>
          <w:color w:val="000000"/>
          <w:sz w:val="22"/>
          <w:szCs w:val="22"/>
        </w:rPr>
      </w:pPr>
      <w:r w:rsidRPr="001257E7">
        <w:rPr>
          <w:rFonts w:ascii="Times New Roman" w:hAnsi="Times New Roman" w:cs="Times New Roman"/>
          <w:color w:val="000000"/>
          <w:sz w:val="22"/>
          <w:szCs w:val="22"/>
          <w:lang w:val="en"/>
        </w:rPr>
        <w:t>The next stage of analysis is a sensitivity analysis can be</w:t>
      </w:r>
      <w:r w:rsidRPr="001257E7">
        <w:rPr>
          <w:rFonts w:ascii="Times New Roman" w:hAnsi="Times New Roman" w:cs="Times New Roman"/>
          <w:sz w:val="22"/>
          <w:szCs w:val="22"/>
          <w:lang w:val="en"/>
        </w:rPr>
        <w:t xml:space="preserve"> </w:t>
      </w:r>
      <w:r w:rsidRPr="001257E7">
        <w:rPr>
          <w:rFonts w:ascii="Times New Roman" w:hAnsi="Times New Roman" w:cs="Times New Roman"/>
          <w:color w:val="000000"/>
          <w:sz w:val="22"/>
          <w:szCs w:val="22"/>
          <w:lang w:val="en"/>
        </w:rPr>
        <w:t>seen in table 6. The way to analyze sensitivity is to recalculate the ACER of each alternative output by simulating by issuing one or more cost variables so that the value can change. The expenditure of one variable cost is made on the cost of using the room and the cost of the action. From the results of the sensitivity analysis, it shows that the ACER value from using Favipiravir without involving room usage fees and action fees is Rp. 1,026,604.02 / day based on the length of hospitalization, while the ACER value from using Remdesivir without involving room usage fees and action fees is Rp. 1,403,508.86 / day, where the difference from the cost is Rp. 376,904.85 / day. The results of the sensitivity analysis show that the ACER from the use of Favipiravir does not involve room usage fees and action costs, namely Rp. 2,360,347.76 / day based on</w:t>
      </w:r>
      <w:r w:rsidRPr="001257E7">
        <w:rPr>
          <w:rFonts w:ascii="Times New Roman" w:hAnsi="Times New Roman" w:cs="Times New Roman"/>
          <w:sz w:val="22"/>
          <w:szCs w:val="22"/>
          <w:lang w:val="en"/>
        </w:rPr>
        <w:t xml:space="preserve"> the disappearance of COVID-19 symptoms, </w:t>
      </w:r>
      <w:r w:rsidRPr="001257E7">
        <w:rPr>
          <w:rFonts w:ascii="Times New Roman" w:hAnsi="Times New Roman" w:cs="Times New Roman"/>
          <w:color w:val="000000"/>
          <w:sz w:val="22"/>
          <w:szCs w:val="22"/>
          <w:lang w:val="en"/>
        </w:rPr>
        <w:t xml:space="preserve">while the value of ACER and the use of </w:t>
      </w:r>
      <w:r w:rsidRPr="001257E7">
        <w:rPr>
          <w:rFonts w:ascii="Times New Roman" w:hAnsi="Times New Roman" w:cs="Times New Roman"/>
          <w:color w:val="000000"/>
          <w:sz w:val="22"/>
          <w:szCs w:val="22"/>
          <w:lang w:val="en"/>
        </w:rPr>
        <w:lastRenderedPageBreak/>
        <w:t>Remdesivir without involving room usage fees and action fees are Rp. 3,613,287.61 / day, where the difference from the simulation fee is Rp. 1,252,939.85 / day. The results with this difference can be considered by practitioners that Favipiravir can be used as an alternative antiviral that can be used in the treatment of COVID-19.</w:t>
      </w:r>
    </w:p>
    <w:p w14:paraId="15A4A91A" w14:textId="77777777" w:rsidR="00771E2E" w:rsidRPr="001257E7" w:rsidRDefault="00771E2E" w:rsidP="001257E7">
      <w:pPr>
        <w:ind w:firstLine="720"/>
        <w:jc w:val="both"/>
        <w:rPr>
          <w:rFonts w:ascii="Times New Roman" w:hAnsi="Times New Roman" w:cs="Times New Roman"/>
          <w:color w:val="000000"/>
          <w:sz w:val="22"/>
          <w:szCs w:val="22"/>
        </w:rPr>
      </w:pPr>
    </w:p>
    <w:p w14:paraId="47C097AF" w14:textId="331DB43F" w:rsidR="00771E2E" w:rsidRPr="00F72CB5" w:rsidRDefault="00771E2E" w:rsidP="001257E7">
      <w:pPr>
        <w:pStyle w:val="DaftarParagraf"/>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lang w:val="en-US"/>
        </w:rPr>
      </w:pPr>
      <w:r w:rsidRPr="00F72CB5">
        <w:rPr>
          <w:rFonts w:ascii="Times New Roman" w:hAnsi="Times New Roman" w:cs="Times New Roman"/>
          <w:b/>
          <w:bCs/>
          <w:lang w:val="en"/>
        </w:rPr>
        <w:t>Conclusion</w:t>
      </w:r>
    </w:p>
    <w:p w14:paraId="3E577322" w14:textId="4A421B33" w:rsidR="00771E2E" w:rsidRPr="001257E7" w:rsidRDefault="00771E2E" w:rsidP="00125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2"/>
          <w:szCs w:val="22"/>
          <w:lang w:val="en-US"/>
        </w:rPr>
      </w:pPr>
      <w:r w:rsidRPr="001257E7">
        <w:rPr>
          <w:rFonts w:ascii="Times New Roman" w:hAnsi="Times New Roman" w:cs="Times New Roman"/>
          <w:sz w:val="22"/>
          <w:szCs w:val="22"/>
          <w:lang w:val="en"/>
        </w:rPr>
        <w:tab/>
      </w:r>
      <w:r w:rsidRPr="001257E7">
        <w:rPr>
          <w:rFonts w:ascii="Times New Roman" w:hAnsi="Times New Roman" w:cs="Times New Roman"/>
          <w:i/>
          <w:iCs/>
          <w:sz w:val="22"/>
          <w:szCs w:val="22"/>
          <w:lang w:val="en"/>
        </w:rPr>
        <w:t>Cost-effectiveness Grid</w:t>
      </w:r>
      <w:r w:rsidRPr="001257E7">
        <w:rPr>
          <w:rFonts w:ascii="Times New Roman" w:hAnsi="Times New Roman" w:cs="Times New Roman"/>
          <w:sz w:val="22"/>
          <w:szCs w:val="22"/>
          <w:lang w:val="en"/>
        </w:rPr>
        <w:t xml:space="preserve"> results</w:t>
      </w:r>
      <w:r w:rsidR="001257E7">
        <w:rPr>
          <w:rFonts w:ascii="Times New Roman" w:hAnsi="Times New Roman" w:cs="Times New Roman"/>
          <w:sz w:val="22"/>
          <w:szCs w:val="22"/>
          <w:lang w:val="en"/>
        </w:rPr>
        <w:t xml:space="preserve"> </w:t>
      </w:r>
      <w:r w:rsidRPr="001257E7">
        <w:rPr>
          <w:rFonts w:ascii="Times New Roman" w:hAnsi="Times New Roman" w:cs="Times New Roman"/>
          <w:sz w:val="22"/>
          <w:szCs w:val="22"/>
          <w:lang w:val="en"/>
        </w:rPr>
        <w:t>showed dominant results in the Remdesivir group for patients with COVID-19 treatment.</w:t>
      </w:r>
      <w:r w:rsidR="001257E7">
        <w:rPr>
          <w:rFonts w:ascii="Times New Roman" w:hAnsi="Times New Roman" w:cs="Times New Roman"/>
          <w:sz w:val="22"/>
          <w:szCs w:val="22"/>
          <w:lang w:val="en"/>
        </w:rPr>
        <w:t xml:space="preserve"> </w:t>
      </w:r>
      <w:r w:rsidRPr="001257E7">
        <w:rPr>
          <w:rFonts w:ascii="Times New Roman" w:hAnsi="Times New Roman" w:cs="Times New Roman"/>
          <w:sz w:val="22"/>
          <w:szCs w:val="22"/>
          <w:lang w:val="en"/>
        </w:rPr>
        <w:t>The average total direct medical cost of the Favipiravir antiviral group was lower than that of the Remdesivir antiviral group. ACER results show that Favipiravir antivirals are more cost-effective than Remdesivir antivirals in the treatment of COVID-19. There was a significant difference in total direct medical costs between the Favipiravir group and the Remdesivir group.</w:t>
      </w:r>
    </w:p>
    <w:p w14:paraId="6642B518" w14:textId="77777777" w:rsidR="0079501D" w:rsidRPr="001257E7" w:rsidRDefault="0079501D" w:rsidP="001257E7">
      <w:pPr>
        <w:rPr>
          <w:rFonts w:ascii="Times New Roman" w:hAnsi="Times New Roman" w:cs="Times New Roman"/>
          <w:b/>
          <w:bCs/>
          <w:sz w:val="22"/>
          <w:szCs w:val="22"/>
        </w:rPr>
      </w:pPr>
    </w:p>
    <w:p w14:paraId="2809632A" w14:textId="1841C00C" w:rsidR="00DC4C0A" w:rsidRPr="00F72CB5" w:rsidRDefault="00771E2E" w:rsidP="001257E7">
      <w:pPr>
        <w:jc w:val="both"/>
        <w:rPr>
          <w:rFonts w:ascii="Times New Roman" w:hAnsi="Times New Roman" w:cs="Times New Roman"/>
          <w:b/>
          <w:bCs/>
        </w:rPr>
      </w:pPr>
      <w:r w:rsidRPr="00F72CB5">
        <w:rPr>
          <w:rFonts w:ascii="Times New Roman" w:hAnsi="Times New Roman" w:cs="Times New Roman"/>
          <w:b/>
          <w:bCs/>
          <w:lang w:val="en"/>
        </w:rPr>
        <w:t>Bibliography</w:t>
      </w:r>
    </w:p>
    <w:p w14:paraId="677F65FD" w14:textId="77777777" w:rsidR="00B265A3" w:rsidRPr="001257E7" w:rsidRDefault="00B265A3" w:rsidP="00F72CB5">
      <w:pPr>
        <w:pStyle w:val="NormalWeb"/>
        <w:spacing w:before="0" w:beforeAutospacing="0" w:after="0" w:afterAutospacing="0"/>
        <w:ind w:left="540" w:hanging="540"/>
        <w:jc w:val="both"/>
        <w:rPr>
          <w:sz w:val="22"/>
          <w:szCs w:val="22"/>
        </w:rPr>
      </w:pPr>
      <w:r w:rsidRPr="001257E7">
        <w:rPr>
          <w:sz w:val="22"/>
          <w:szCs w:val="22"/>
        </w:rPr>
        <w:t>World Health Organization, C</w:t>
      </w:r>
      <w:r w:rsidRPr="001257E7">
        <w:rPr>
          <w:i/>
          <w:iCs/>
          <w:sz w:val="22"/>
          <w:szCs w:val="22"/>
        </w:rPr>
        <w:t xml:space="preserve">oronavirus </w:t>
      </w:r>
      <w:proofErr w:type="spellStart"/>
      <w:proofErr w:type="gramStart"/>
      <w:r w:rsidRPr="001257E7">
        <w:rPr>
          <w:i/>
          <w:iCs/>
          <w:sz w:val="22"/>
          <w:szCs w:val="22"/>
        </w:rPr>
        <w:t>deases</w:t>
      </w:r>
      <w:proofErr w:type="spellEnd"/>
      <w:r w:rsidRPr="001257E7">
        <w:rPr>
          <w:i/>
          <w:iCs/>
          <w:sz w:val="22"/>
          <w:szCs w:val="22"/>
        </w:rPr>
        <w:t xml:space="preserve"> </w:t>
      </w:r>
      <w:r w:rsidRPr="001257E7">
        <w:rPr>
          <w:sz w:val="22"/>
          <w:szCs w:val="22"/>
        </w:rPr>
        <w:t>;</w:t>
      </w:r>
      <w:proofErr w:type="gramEnd"/>
      <w:r w:rsidRPr="001257E7">
        <w:rPr>
          <w:i/>
          <w:iCs/>
          <w:sz w:val="22"/>
          <w:szCs w:val="22"/>
        </w:rPr>
        <w:t xml:space="preserve"> </w:t>
      </w:r>
      <w:r w:rsidRPr="001257E7">
        <w:rPr>
          <w:sz w:val="22"/>
          <w:szCs w:val="22"/>
        </w:rPr>
        <w:t xml:space="preserve">2021. </w:t>
      </w:r>
    </w:p>
    <w:p w14:paraId="1D787CFE" w14:textId="77777777" w:rsidR="00B265A3" w:rsidRPr="001257E7" w:rsidRDefault="00B265A3" w:rsidP="00F72CB5">
      <w:pPr>
        <w:pStyle w:val="NormalWeb"/>
        <w:spacing w:before="0" w:beforeAutospacing="0" w:after="0" w:afterAutospacing="0"/>
        <w:ind w:left="540" w:hanging="540"/>
        <w:jc w:val="both"/>
        <w:rPr>
          <w:sz w:val="22"/>
          <w:szCs w:val="22"/>
        </w:rPr>
      </w:pPr>
      <w:r w:rsidRPr="001257E7">
        <w:rPr>
          <w:sz w:val="22"/>
          <w:szCs w:val="22"/>
        </w:rPr>
        <w:t xml:space="preserve">Kementerian Kesehatan </w:t>
      </w:r>
      <w:proofErr w:type="spellStart"/>
      <w:r w:rsidRPr="001257E7">
        <w:rPr>
          <w:sz w:val="22"/>
          <w:szCs w:val="22"/>
        </w:rPr>
        <w:t>Republik</w:t>
      </w:r>
      <w:proofErr w:type="spellEnd"/>
      <w:r w:rsidRPr="001257E7">
        <w:rPr>
          <w:sz w:val="22"/>
          <w:szCs w:val="22"/>
        </w:rPr>
        <w:t xml:space="preserve"> Indonesia. </w:t>
      </w:r>
      <w:proofErr w:type="spellStart"/>
      <w:r w:rsidRPr="001257E7">
        <w:rPr>
          <w:sz w:val="22"/>
          <w:szCs w:val="22"/>
        </w:rPr>
        <w:t>Situasi</w:t>
      </w:r>
      <w:proofErr w:type="spellEnd"/>
      <w:r w:rsidRPr="001257E7">
        <w:rPr>
          <w:sz w:val="22"/>
          <w:szCs w:val="22"/>
        </w:rPr>
        <w:t xml:space="preserve"> </w:t>
      </w:r>
      <w:proofErr w:type="spellStart"/>
      <w:r w:rsidRPr="001257E7">
        <w:rPr>
          <w:sz w:val="22"/>
          <w:szCs w:val="22"/>
        </w:rPr>
        <w:t>Terkini</w:t>
      </w:r>
      <w:proofErr w:type="spellEnd"/>
      <w:r w:rsidRPr="001257E7">
        <w:rPr>
          <w:sz w:val="22"/>
          <w:szCs w:val="22"/>
        </w:rPr>
        <w:t xml:space="preserve"> </w:t>
      </w:r>
      <w:proofErr w:type="spellStart"/>
      <w:r w:rsidRPr="001257E7">
        <w:rPr>
          <w:sz w:val="22"/>
          <w:szCs w:val="22"/>
        </w:rPr>
        <w:t>Perkembangan</w:t>
      </w:r>
      <w:proofErr w:type="spellEnd"/>
      <w:r w:rsidRPr="001257E7">
        <w:rPr>
          <w:sz w:val="22"/>
          <w:szCs w:val="22"/>
        </w:rPr>
        <w:t xml:space="preserve"> COVID-19, 2021. Kementerian </w:t>
      </w:r>
      <w:proofErr w:type="gramStart"/>
      <w:r w:rsidRPr="001257E7">
        <w:rPr>
          <w:sz w:val="22"/>
          <w:szCs w:val="22"/>
        </w:rPr>
        <w:t>Kesehatan ;</w:t>
      </w:r>
      <w:proofErr w:type="gramEnd"/>
      <w:r w:rsidRPr="001257E7">
        <w:rPr>
          <w:sz w:val="22"/>
          <w:szCs w:val="22"/>
        </w:rPr>
        <w:t xml:space="preserve"> 2021.</w:t>
      </w:r>
    </w:p>
    <w:p w14:paraId="325FED32" w14:textId="77777777" w:rsidR="00B265A3" w:rsidRPr="001257E7" w:rsidRDefault="00B265A3" w:rsidP="00F72CB5">
      <w:pPr>
        <w:pStyle w:val="NormalWeb"/>
        <w:spacing w:before="0" w:beforeAutospacing="0" w:after="0" w:afterAutospacing="0"/>
        <w:ind w:left="540" w:hanging="540"/>
        <w:jc w:val="both"/>
        <w:rPr>
          <w:sz w:val="22"/>
          <w:szCs w:val="22"/>
        </w:rPr>
      </w:pPr>
      <w:proofErr w:type="spellStart"/>
      <w:r w:rsidRPr="001257E7">
        <w:rPr>
          <w:sz w:val="22"/>
          <w:szCs w:val="22"/>
        </w:rPr>
        <w:t>Rusdi</w:t>
      </w:r>
      <w:proofErr w:type="spellEnd"/>
      <w:r w:rsidRPr="001257E7">
        <w:rPr>
          <w:sz w:val="22"/>
          <w:szCs w:val="22"/>
        </w:rPr>
        <w:t xml:space="preserve"> MS. </w:t>
      </w:r>
      <w:proofErr w:type="spellStart"/>
      <w:r w:rsidRPr="001257E7">
        <w:rPr>
          <w:sz w:val="22"/>
          <w:szCs w:val="22"/>
        </w:rPr>
        <w:t>Farmakologi</w:t>
      </w:r>
      <w:proofErr w:type="spellEnd"/>
      <w:r w:rsidRPr="001257E7">
        <w:rPr>
          <w:sz w:val="22"/>
          <w:szCs w:val="22"/>
        </w:rPr>
        <w:t xml:space="preserve"> pada Corona Virus Disease </w:t>
      </w:r>
      <w:proofErr w:type="spellStart"/>
      <w:r w:rsidRPr="001257E7">
        <w:rPr>
          <w:sz w:val="22"/>
          <w:szCs w:val="22"/>
        </w:rPr>
        <w:t>atau</w:t>
      </w:r>
      <w:proofErr w:type="spellEnd"/>
      <w:r w:rsidRPr="001257E7">
        <w:rPr>
          <w:sz w:val="22"/>
          <w:szCs w:val="22"/>
        </w:rPr>
        <w:t xml:space="preserve"> COVID-19. Lumbung </w:t>
      </w:r>
      <w:proofErr w:type="spellStart"/>
      <w:r w:rsidRPr="001257E7">
        <w:rPr>
          <w:sz w:val="22"/>
          <w:szCs w:val="22"/>
        </w:rPr>
        <w:t>Farmasi</w:t>
      </w:r>
      <w:proofErr w:type="spellEnd"/>
      <w:r w:rsidRPr="001257E7">
        <w:rPr>
          <w:sz w:val="22"/>
          <w:szCs w:val="22"/>
        </w:rPr>
        <w:t xml:space="preserve"> </w:t>
      </w:r>
      <w:proofErr w:type="spellStart"/>
      <w:r w:rsidRPr="001257E7">
        <w:rPr>
          <w:sz w:val="22"/>
          <w:szCs w:val="22"/>
        </w:rPr>
        <w:t>Ilmu</w:t>
      </w:r>
      <w:proofErr w:type="spellEnd"/>
      <w:r w:rsidRPr="001257E7">
        <w:rPr>
          <w:sz w:val="22"/>
          <w:szCs w:val="22"/>
        </w:rPr>
        <w:t xml:space="preserve"> </w:t>
      </w:r>
      <w:proofErr w:type="spellStart"/>
      <w:r w:rsidRPr="001257E7">
        <w:rPr>
          <w:sz w:val="22"/>
          <w:szCs w:val="22"/>
        </w:rPr>
        <w:t>Kefarmasian</w:t>
      </w:r>
      <w:proofErr w:type="spellEnd"/>
      <w:r w:rsidRPr="001257E7">
        <w:rPr>
          <w:sz w:val="22"/>
          <w:szCs w:val="22"/>
        </w:rPr>
        <w:t xml:space="preserve">. 2021;(103):54–61. </w:t>
      </w:r>
    </w:p>
    <w:p w14:paraId="251B7799" w14:textId="77777777" w:rsidR="00B265A3" w:rsidRPr="001257E7" w:rsidRDefault="00B265A3" w:rsidP="00F72CB5">
      <w:pPr>
        <w:pStyle w:val="NormalWeb"/>
        <w:spacing w:before="0" w:beforeAutospacing="0" w:after="0" w:afterAutospacing="0"/>
        <w:ind w:left="540" w:hanging="540"/>
        <w:jc w:val="both"/>
        <w:rPr>
          <w:sz w:val="22"/>
          <w:szCs w:val="22"/>
        </w:rPr>
      </w:pPr>
      <w:r w:rsidRPr="001257E7">
        <w:rPr>
          <w:sz w:val="22"/>
          <w:szCs w:val="22"/>
        </w:rPr>
        <w:t xml:space="preserve">Susilo A, </w:t>
      </w:r>
      <w:proofErr w:type="spellStart"/>
      <w:r w:rsidRPr="001257E7">
        <w:rPr>
          <w:sz w:val="22"/>
          <w:szCs w:val="22"/>
        </w:rPr>
        <w:t>Rumende</w:t>
      </w:r>
      <w:proofErr w:type="spellEnd"/>
      <w:r w:rsidRPr="001257E7">
        <w:rPr>
          <w:sz w:val="22"/>
          <w:szCs w:val="22"/>
        </w:rPr>
        <w:t xml:space="preserve"> CM, </w:t>
      </w:r>
      <w:proofErr w:type="spellStart"/>
      <w:r w:rsidRPr="001257E7">
        <w:rPr>
          <w:sz w:val="22"/>
          <w:szCs w:val="22"/>
        </w:rPr>
        <w:t>Pitoyo</w:t>
      </w:r>
      <w:proofErr w:type="spellEnd"/>
      <w:r w:rsidRPr="001257E7">
        <w:rPr>
          <w:sz w:val="22"/>
          <w:szCs w:val="22"/>
        </w:rPr>
        <w:t xml:space="preserve"> CW, Santoso WD, </w:t>
      </w:r>
      <w:proofErr w:type="spellStart"/>
      <w:r w:rsidRPr="001257E7">
        <w:rPr>
          <w:sz w:val="22"/>
          <w:szCs w:val="22"/>
        </w:rPr>
        <w:t>Yulianti</w:t>
      </w:r>
      <w:proofErr w:type="spellEnd"/>
      <w:r w:rsidRPr="001257E7">
        <w:rPr>
          <w:sz w:val="22"/>
          <w:szCs w:val="22"/>
        </w:rPr>
        <w:t xml:space="preserve"> M, </w:t>
      </w:r>
      <w:proofErr w:type="spellStart"/>
      <w:r w:rsidRPr="001257E7">
        <w:rPr>
          <w:sz w:val="22"/>
          <w:szCs w:val="22"/>
        </w:rPr>
        <w:t>Herikurniawan</w:t>
      </w:r>
      <w:proofErr w:type="spellEnd"/>
      <w:r w:rsidRPr="001257E7">
        <w:rPr>
          <w:sz w:val="22"/>
          <w:szCs w:val="22"/>
        </w:rPr>
        <w:t xml:space="preserve"> H, et al. Coronavirus Disease 2019: </w:t>
      </w:r>
      <w:proofErr w:type="spellStart"/>
      <w:r w:rsidRPr="001257E7">
        <w:rPr>
          <w:sz w:val="22"/>
          <w:szCs w:val="22"/>
        </w:rPr>
        <w:t>Tinjauan</w:t>
      </w:r>
      <w:proofErr w:type="spellEnd"/>
      <w:r w:rsidRPr="001257E7">
        <w:rPr>
          <w:sz w:val="22"/>
          <w:szCs w:val="22"/>
        </w:rPr>
        <w:t xml:space="preserve"> </w:t>
      </w:r>
      <w:proofErr w:type="spellStart"/>
      <w:r w:rsidRPr="001257E7">
        <w:rPr>
          <w:sz w:val="22"/>
          <w:szCs w:val="22"/>
        </w:rPr>
        <w:t>Literatur</w:t>
      </w:r>
      <w:proofErr w:type="spellEnd"/>
      <w:r w:rsidRPr="001257E7">
        <w:rPr>
          <w:sz w:val="22"/>
          <w:szCs w:val="22"/>
        </w:rPr>
        <w:t xml:space="preserve"> </w:t>
      </w:r>
      <w:proofErr w:type="spellStart"/>
      <w:r w:rsidRPr="001257E7">
        <w:rPr>
          <w:sz w:val="22"/>
          <w:szCs w:val="22"/>
        </w:rPr>
        <w:t>Terkini</w:t>
      </w:r>
      <w:proofErr w:type="spellEnd"/>
      <w:r w:rsidRPr="001257E7">
        <w:rPr>
          <w:sz w:val="22"/>
          <w:szCs w:val="22"/>
        </w:rPr>
        <w:t xml:space="preserve">. </w:t>
      </w:r>
      <w:proofErr w:type="spellStart"/>
      <w:r w:rsidRPr="001257E7">
        <w:rPr>
          <w:sz w:val="22"/>
          <w:szCs w:val="22"/>
        </w:rPr>
        <w:t>Penyakit</w:t>
      </w:r>
      <w:proofErr w:type="spellEnd"/>
      <w:r w:rsidRPr="001257E7">
        <w:rPr>
          <w:sz w:val="22"/>
          <w:szCs w:val="22"/>
        </w:rPr>
        <w:t xml:space="preserve"> </w:t>
      </w:r>
      <w:proofErr w:type="spellStart"/>
      <w:r w:rsidRPr="001257E7">
        <w:rPr>
          <w:sz w:val="22"/>
          <w:szCs w:val="22"/>
        </w:rPr>
        <w:t>Dalam</w:t>
      </w:r>
      <w:proofErr w:type="spellEnd"/>
      <w:r w:rsidRPr="001257E7">
        <w:rPr>
          <w:sz w:val="22"/>
          <w:szCs w:val="22"/>
        </w:rPr>
        <w:t xml:space="preserve"> Indonesia. 2020;7(1):45. </w:t>
      </w:r>
    </w:p>
    <w:p w14:paraId="29C7F9A8" w14:textId="77777777" w:rsidR="00B265A3" w:rsidRPr="001257E7" w:rsidRDefault="00B265A3" w:rsidP="00F72CB5">
      <w:pPr>
        <w:pStyle w:val="NormalWeb"/>
        <w:spacing w:before="0" w:beforeAutospacing="0" w:after="0" w:afterAutospacing="0"/>
        <w:ind w:left="540" w:hanging="540"/>
        <w:jc w:val="both"/>
        <w:rPr>
          <w:sz w:val="22"/>
          <w:szCs w:val="22"/>
        </w:rPr>
      </w:pPr>
      <w:proofErr w:type="spellStart"/>
      <w:r w:rsidRPr="001257E7">
        <w:rPr>
          <w:sz w:val="22"/>
          <w:szCs w:val="22"/>
        </w:rPr>
        <w:t>Erlina</w:t>
      </w:r>
      <w:proofErr w:type="spellEnd"/>
      <w:r w:rsidRPr="001257E7">
        <w:rPr>
          <w:sz w:val="22"/>
          <w:szCs w:val="22"/>
        </w:rPr>
        <w:t xml:space="preserve"> Burhan, </w:t>
      </w:r>
      <w:proofErr w:type="spellStart"/>
      <w:r w:rsidRPr="001257E7">
        <w:rPr>
          <w:sz w:val="22"/>
          <w:szCs w:val="22"/>
        </w:rPr>
        <w:t>Agus</w:t>
      </w:r>
      <w:proofErr w:type="spellEnd"/>
      <w:r w:rsidRPr="001257E7">
        <w:rPr>
          <w:sz w:val="22"/>
          <w:szCs w:val="22"/>
        </w:rPr>
        <w:t xml:space="preserve"> </w:t>
      </w:r>
      <w:proofErr w:type="spellStart"/>
      <w:r w:rsidRPr="001257E7">
        <w:rPr>
          <w:sz w:val="22"/>
          <w:szCs w:val="22"/>
        </w:rPr>
        <w:t>Dwi</w:t>
      </w:r>
      <w:proofErr w:type="spellEnd"/>
      <w:r w:rsidRPr="001257E7">
        <w:rPr>
          <w:sz w:val="22"/>
          <w:szCs w:val="22"/>
        </w:rPr>
        <w:t xml:space="preserve"> Susanto, Sally A </w:t>
      </w:r>
      <w:proofErr w:type="spellStart"/>
      <w:r w:rsidRPr="001257E7">
        <w:rPr>
          <w:sz w:val="22"/>
          <w:szCs w:val="22"/>
        </w:rPr>
        <w:t>Nasution</w:t>
      </w:r>
      <w:proofErr w:type="spellEnd"/>
      <w:r w:rsidRPr="001257E7">
        <w:rPr>
          <w:sz w:val="22"/>
          <w:szCs w:val="22"/>
        </w:rPr>
        <w:t xml:space="preserve">, Eka </w:t>
      </w:r>
      <w:proofErr w:type="spellStart"/>
      <w:r w:rsidRPr="001257E7">
        <w:rPr>
          <w:sz w:val="22"/>
          <w:szCs w:val="22"/>
        </w:rPr>
        <w:t>Ginanjar</w:t>
      </w:r>
      <w:proofErr w:type="spellEnd"/>
      <w:r w:rsidRPr="001257E7">
        <w:rPr>
          <w:sz w:val="22"/>
          <w:szCs w:val="22"/>
        </w:rPr>
        <w:t xml:space="preserve">, </w:t>
      </w:r>
      <w:proofErr w:type="spellStart"/>
      <w:r w:rsidRPr="001257E7">
        <w:rPr>
          <w:sz w:val="22"/>
          <w:szCs w:val="22"/>
        </w:rPr>
        <w:t>Ceva</w:t>
      </w:r>
      <w:proofErr w:type="spellEnd"/>
      <w:r w:rsidRPr="001257E7">
        <w:rPr>
          <w:sz w:val="22"/>
          <w:szCs w:val="22"/>
        </w:rPr>
        <w:t xml:space="preserve"> </w:t>
      </w:r>
      <w:proofErr w:type="spellStart"/>
      <w:r w:rsidRPr="001257E7">
        <w:rPr>
          <w:sz w:val="22"/>
          <w:szCs w:val="22"/>
        </w:rPr>
        <w:t>Wicaksono</w:t>
      </w:r>
      <w:proofErr w:type="spellEnd"/>
      <w:r w:rsidRPr="001257E7">
        <w:rPr>
          <w:sz w:val="22"/>
          <w:szCs w:val="22"/>
        </w:rPr>
        <w:t xml:space="preserve"> </w:t>
      </w:r>
      <w:proofErr w:type="spellStart"/>
      <w:r w:rsidRPr="001257E7">
        <w:rPr>
          <w:sz w:val="22"/>
          <w:szCs w:val="22"/>
        </w:rPr>
        <w:t>Pitoyo</w:t>
      </w:r>
      <w:proofErr w:type="spellEnd"/>
      <w:r w:rsidRPr="001257E7">
        <w:rPr>
          <w:sz w:val="22"/>
          <w:szCs w:val="22"/>
        </w:rPr>
        <w:t xml:space="preserve">, </w:t>
      </w:r>
      <w:proofErr w:type="spellStart"/>
      <w:r w:rsidRPr="001257E7">
        <w:rPr>
          <w:sz w:val="22"/>
          <w:szCs w:val="22"/>
        </w:rPr>
        <w:t>Adityo</w:t>
      </w:r>
      <w:proofErr w:type="spellEnd"/>
      <w:r w:rsidRPr="001257E7">
        <w:rPr>
          <w:sz w:val="22"/>
          <w:szCs w:val="22"/>
        </w:rPr>
        <w:t xml:space="preserve"> Susilo, </w:t>
      </w:r>
      <w:proofErr w:type="spellStart"/>
      <w:r w:rsidRPr="001257E7">
        <w:rPr>
          <w:sz w:val="22"/>
          <w:szCs w:val="22"/>
        </w:rPr>
        <w:t>Isman</w:t>
      </w:r>
      <w:proofErr w:type="spellEnd"/>
      <w:r w:rsidRPr="001257E7">
        <w:rPr>
          <w:sz w:val="22"/>
          <w:szCs w:val="22"/>
        </w:rPr>
        <w:t xml:space="preserve"> Firdaus, Anwar Santoso, </w:t>
      </w:r>
      <w:proofErr w:type="spellStart"/>
      <w:r w:rsidRPr="001257E7">
        <w:rPr>
          <w:sz w:val="22"/>
          <w:szCs w:val="22"/>
        </w:rPr>
        <w:t>Dafsah</w:t>
      </w:r>
      <w:proofErr w:type="spellEnd"/>
      <w:r w:rsidRPr="001257E7">
        <w:rPr>
          <w:sz w:val="22"/>
          <w:szCs w:val="22"/>
        </w:rPr>
        <w:t xml:space="preserve"> </w:t>
      </w:r>
      <w:proofErr w:type="spellStart"/>
      <w:r w:rsidRPr="001257E7">
        <w:rPr>
          <w:sz w:val="22"/>
          <w:szCs w:val="22"/>
        </w:rPr>
        <w:t>Arifa</w:t>
      </w:r>
      <w:proofErr w:type="spellEnd"/>
      <w:r w:rsidRPr="001257E7">
        <w:rPr>
          <w:sz w:val="22"/>
          <w:szCs w:val="22"/>
        </w:rPr>
        <w:t xml:space="preserve"> </w:t>
      </w:r>
      <w:proofErr w:type="spellStart"/>
      <w:r w:rsidRPr="001257E7">
        <w:rPr>
          <w:sz w:val="22"/>
          <w:szCs w:val="22"/>
        </w:rPr>
        <w:t>Juzar</w:t>
      </w:r>
      <w:proofErr w:type="spellEnd"/>
      <w:r w:rsidRPr="001257E7">
        <w:rPr>
          <w:sz w:val="22"/>
          <w:szCs w:val="22"/>
        </w:rPr>
        <w:t xml:space="preserve">, </w:t>
      </w:r>
      <w:proofErr w:type="spellStart"/>
      <w:r w:rsidRPr="001257E7">
        <w:rPr>
          <w:sz w:val="22"/>
          <w:szCs w:val="22"/>
        </w:rPr>
        <w:t>Syafri</w:t>
      </w:r>
      <w:proofErr w:type="spellEnd"/>
      <w:r w:rsidRPr="001257E7">
        <w:rPr>
          <w:sz w:val="22"/>
          <w:szCs w:val="22"/>
        </w:rPr>
        <w:t xml:space="preserve"> </w:t>
      </w:r>
      <w:proofErr w:type="spellStart"/>
      <w:r w:rsidRPr="001257E7">
        <w:rPr>
          <w:sz w:val="22"/>
          <w:szCs w:val="22"/>
        </w:rPr>
        <w:t>Kamsul</w:t>
      </w:r>
      <w:proofErr w:type="spellEnd"/>
      <w:r w:rsidRPr="001257E7">
        <w:rPr>
          <w:sz w:val="22"/>
          <w:szCs w:val="22"/>
        </w:rPr>
        <w:t xml:space="preserve"> </w:t>
      </w:r>
      <w:proofErr w:type="spellStart"/>
      <w:r w:rsidRPr="001257E7">
        <w:rPr>
          <w:sz w:val="22"/>
          <w:szCs w:val="22"/>
        </w:rPr>
        <w:t>Arif</w:t>
      </w:r>
      <w:proofErr w:type="spellEnd"/>
      <w:r w:rsidRPr="001257E7">
        <w:rPr>
          <w:sz w:val="22"/>
          <w:szCs w:val="22"/>
        </w:rPr>
        <w:t xml:space="preserve">, Navy G.H Lolong </w:t>
      </w:r>
      <w:proofErr w:type="spellStart"/>
      <w:r w:rsidRPr="001257E7">
        <w:rPr>
          <w:sz w:val="22"/>
          <w:szCs w:val="22"/>
        </w:rPr>
        <w:t>Wulung</w:t>
      </w:r>
      <w:proofErr w:type="spellEnd"/>
      <w:r w:rsidRPr="001257E7">
        <w:rPr>
          <w:sz w:val="22"/>
          <w:szCs w:val="22"/>
        </w:rPr>
        <w:t xml:space="preserve">, </w:t>
      </w:r>
      <w:proofErr w:type="spellStart"/>
      <w:r w:rsidRPr="001257E7">
        <w:rPr>
          <w:sz w:val="22"/>
          <w:szCs w:val="22"/>
        </w:rPr>
        <w:t>Triya</w:t>
      </w:r>
      <w:proofErr w:type="spellEnd"/>
      <w:r w:rsidRPr="001257E7">
        <w:rPr>
          <w:sz w:val="22"/>
          <w:szCs w:val="22"/>
        </w:rPr>
        <w:t xml:space="preserve"> Damayanti, </w:t>
      </w:r>
      <w:proofErr w:type="spellStart"/>
      <w:r w:rsidRPr="001257E7">
        <w:rPr>
          <w:sz w:val="22"/>
          <w:szCs w:val="22"/>
        </w:rPr>
        <w:t>Wiwien</w:t>
      </w:r>
      <w:proofErr w:type="spellEnd"/>
      <w:r w:rsidRPr="001257E7">
        <w:rPr>
          <w:sz w:val="22"/>
          <w:szCs w:val="22"/>
        </w:rPr>
        <w:t xml:space="preserve"> </w:t>
      </w:r>
      <w:proofErr w:type="spellStart"/>
      <w:r w:rsidRPr="001257E7">
        <w:rPr>
          <w:sz w:val="22"/>
          <w:szCs w:val="22"/>
        </w:rPr>
        <w:t>Heru</w:t>
      </w:r>
      <w:proofErr w:type="spellEnd"/>
      <w:r w:rsidRPr="001257E7">
        <w:rPr>
          <w:sz w:val="22"/>
          <w:szCs w:val="22"/>
        </w:rPr>
        <w:t xml:space="preserve"> </w:t>
      </w:r>
      <w:proofErr w:type="spellStart"/>
      <w:r w:rsidRPr="001257E7">
        <w:rPr>
          <w:sz w:val="22"/>
          <w:szCs w:val="22"/>
        </w:rPr>
        <w:t>Wiyono</w:t>
      </w:r>
      <w:proofErr w:type="spellEnd"/>
      <w:r w:rsidRPr="001257E7">
        <w:rPr>
          <w:sz w:val="22"/>
          <w:szCs w:val="22"/>
        </w:rPr>
        <w:t xml:space="preserve">, </w:t>
      </w:r>
      <w:proofErr w:type="spellStart"/>
      <w:r w:rsidRPr="001257E7">
        <w:rPr>
          <w:sz w:val="22"/>
          <w:szCs w:val="22"/>
        </w:rPr>
        <w:t>Prasenohadi</w:t>
      </w:r>
      <w:proofErr w:type="spellEnd"/>
      <w:r w:rsidRPr="001257E7">
        <w:rPr>
          <w:sz w:val="22"/>
          <w:szCs w:val="22"/>
        </w:rPr>
        <w:t xml:space="preserve">, </w:t>
      </w:r>
      <w:proofErr w:type="spellStart"/>
      <w:r w:rsidRPr="001257E7">
        <w:rPr>
          <w:sz w:val="22"/>
          <w:szCs w:val="22"/>
        </w:rPr>
        <w:t>Afiatin</w:t>
      </w:r>
      <w:proofErr w:type="spellEnd"/>
      <w:r w:rsidRPr="001257E7">
        <w:rPr>
          <w:sz w:val="22"/>
          <w:szCs w:val="22"/>
        </w:rPr>
        <w:t xml:space="preserve">, TC-19 I. </w:t>
      </w:r>
      <w:proofErr w:type="spellStart"/>
      <w:r w:rsidRPr="001257E7">
        <w:rPr>
          <w:sz w:val="22"/>
          <w:szCs w:val="22"/>
        </w:rPr>
        <w:t>Protokol</w:t>
      </w:r>
      <w:proofErr w:type="spellEnd"/>
      <w:r w:rsidRPr="001257E7">
        <w:rPr>
          <w:sz w:val="22"/>
          <w:szCs w:val="22"/>
        </w:rPr>
        <w:t xml:space="preserve"> </w:t>
      </w:r>
      <w:proofErr w:type="spellStart"/>
      <w:r w:rsidRPr="001257E7">
        <w:rPr>
          <w:sz w:val="22"/>
          <w:szCs w:val="22"/>
        </w:rPr>
        <w:t>Tatalaksana</w:t>
      </w:r>
      <w:proofErr w:type="spellEnd"/>
      <w:r w:rsidRPr="001257E7">
        <w:rPr>
          <w:sz w:val="22"/>
          <w:szCs w:val="22"/>
        </w:rPr>
        <w:t xml:space="preserve"> Covid-19. 2020. </w:t>
      </w:r>
    </w:p>
    <w:p w14:paraId="77C16A09" w14:textId="77777777" w:rsidR="00B265A3" w:rsidRPr="001257E7" w:rsidRDefault="00B265A3" w:rsidP="00F72CB5">
      <w:pPr>
        <w:pStyle w:val="NormalWeb"/>
        <w:spacing w:before="0" w:beforeAutospacing="0" w:after="0" w:afterAutospacing="0"/>
        <w:ind w:left="540" w:hanging="540"/>
        <w:jc w:val="both"/>
        <w:rPr>
          <w:sz w:val="22"/>
          <w:szCs w:val="22"/>
        </w:rPr>
      </w:pPr>
      <w:proofErr w:type="spellStart"/>
      <w:r w:rsidRPr="001257E7">
        <w:rPr>
          <w:sz w:val="22"/>
          <w:szCs w:val="22"/>
        </w:rPr>
        <w:t>Pedoman</w:t>
      </w:r>
      <w:proofErr w:type="spellEnd"/>
      <w:r w:rsidRPr="001257E7">
        <w:rPr>
          <w:sz w:val="22"/>
          <w:szCs w:val="22"/>
        </w:rPr>
        <w:t xml:space="preserve"> </w:t>
      </w:r>
      <w:proofErr w:type="spellStart"/>
      <w:r w:rsidRPr="001257E7">
        <w:rPr>
          <w:sz w:val="22"/>
          <w:szCs w:val="22"/>
        </w:rPr>
        <w:t>tatalaksana</w:t>
      </w:r>
      <w:proofErr w:type="spellEnd"/>
      <w:r w:rsidRPr="001257E7">
        <w:rPr>
          <w:sz w:val="22"/>
          <w:szCs w:val="22"/>
        </w:rPr>
        <w:t xml:space="preserve"> COVID-19 </w:t>
      </w:r>
      <w:proofErr w:type="spellStart"/>
      <w:r w:rsidRPr="001257E7">
        <w:rPr>
          <w:sz w:val="22"/>
          <w:szCs w:val="22"/>
        </w:rPr>
        <w:t>Edisi</w:t>
      </w:r>
      <w:proofErr w:type="spellEnd"/>
      <w:r w:rsidRPr="001257E7">
        <w:rPr>
          <w:sz w:val="22"/>
          <w:szCs w:val="22"/>
        </w:rPr>
        <w:t xml:space="preserve"> 3 </w:t>
      </w:r>
      <w:proofErr w:type="spellStart"/>
      <w:r w:rsidRPr="001257E7">
        <w:rPr>
          <w:sz w:val="22"/>
          <w:szCs w:val="22"/>
        </w:rPr>
        <w:t>Desember</w:t>
      </w:r>
      <w:proofErr w:type="spellEnd"/>
      <w:r w:rsidRPr="001257E7">
        <w:rPr>
          <w:sz w:val="22"/>
          <w:szCs w:val="22"/>
        </w:rPr>
        <w:t xml:space="preserve"> 2020. </w:t>
      </w:r>
      <w:proofErr w:type="spellStart"/>
      <w:r w:rsidRPr="001257E7">
        <w:rPr>
          <w:sz w:val="22"/>
          <w:szCs w:val="22"/>
        </w:rPr>
        <w:t>Pedoman</w:t>
      </w:r>
      <w:proofErr w:type="spellEnd"/>
      <w:r w:rsidRPr="001257E7">
        <w:rPr>
          <w:sz w:val="22"/>
          <w:szCs w:val="22"/>
        </w:rPr>
        <w:t xml:space="preserve"> </w:t>
      </w:r>
      <w:proofErr w:type="spellStart"/>
      <w:r w:rsidRPr="001257E7">
        <w:rPr>
          <w:sz w:val="22"/>
          <w:szCs w:val="22"/>
        </w:rPr>
        <w:t>Tatalaksana</w:t>
      </w:r>
      <w:proofErr w:type="spellEnd"/>
      <w:r w:rsidRPr="001257E7">
        <w:rPr>
          <w:sz w:val="22"/>
          <w:szCs w:val="22"/>
        </w:rPr>
        <w:t xml:space="preserve"> COVID-19. 2020. 36–37 p.</w:t>
      </w:r>
    </w:p>
    <w:p w14:paraId="520DCA76" w14:textId="77777777" w:rsidR="00B265A3" w:rsidRPr="001257E7" w:rsidRDefault="00B265A3" w:rsidP="00F72CB5">
      <w:pPr>
        <w:pStyle w:val="NormalWeb"/>
        <w:spacing w:before="0" w:beforeAutospacing="0" w:after="0" w:afterAutospacing="0"/>
        <w:ind w:left="540" w:hanging="540"/>
        <w:jc w:val="both"/>
        <w:rPr>
          <w:sz w:val="22"/>
          <w:szCs w:val="22"/>
        </w:rPr>
      </w:pPr>
      <w:proofErr w:type="spellStart"/>
      <w:r w:rsidRPr="001257E7">
        <w:rPr>
          <w:sz w:val="22"/>
          <w:szCs w:val="22"/>
        </w:rPr>
        <w:t>Oksuz</w:t>
      </w:r>
      <w:proofErr w:type="spellEnd"/>
      <w:r w:rsidRPr="001257E7">
        <w:rPr>
          <w:sz w:val="22"/>
          <w:szCs w:val="22"/>
        </w:rPr>
        <w:t xml:space="preserve"> E, </w:t>
      </w:r>
      <w:proofErr w:type="spellStart"/>
      <w:r w:rsidRPr="001257E7">
        <w:rPr>
          <w:sz w:val="22"/>
          <w:szCs w:val="22"/>
        </w:rPr>
        <w:t>Malhan</w:t>
      </w:r>
      <w:proofErr w:type="spellEnd"/>
      <w:r w:rsidRPr="001257E7">
        <w:rPr>
          <w:sz w:val="22"/>
          <w:szCs w:val="22"/>
        </w:rPr>
        <w:t xml:space="preserve"> S, </w:t>
      </w:r>
      <w:proofErr w:type="spellStart"/>
      <w:r w:rsidRPr="001257E7">
        <w:rPr>
          <w:sz w:val="22"/>
          <w:szCs w:val="22"/>
        </w:rPr>
        <w:t>Gonen</w:t>
      </w:r>
      <w:proofErr w:type="spellEnd"/>
      <w:r w:rsidRPr="001257E7">
        <w:rPr>
          <w:sz w:val="22"/>
          <w:szCs w:val="22"/>
        </w:rPr>
        <w:t xml:space="preserve"> MS, et al. Cost-Effectiveness Analysis of Remdesivir Treatment in COVID-19 Patients Requiring Low-Flow Oxygen Therapy: Payer Perspective in Turkey. 2021;38(9):4935–48. </w:t>
      </w:r>
    </w:p>
    <w:p w14:paraId="761CFFFC" w14:textId="77777777" w:rsidR="00B265A3" w:rsidRPr="001257E7" w:rsidRDefault="00B265A3" w:rsidP="00F72CB5">
      <w:pPr>
        <w:pStyle w:val="NormalWeb"/>
        <w:spacing w:before="0" w:beforeAutospacing="0" w:after="0" w:afterAutospacing="0"/>
        <w:ind w:left="540" w:hanging="540"/>
        <w:jc w:val="both"/>
        <w:rPr>
          <w:sz w:val="22"/>
          <w:szCs w:val="22"/>
        </w:rPr>
      </w:pPr>
      <w:r w:rsidRPr="001257E7">
        <w:rPr>
          <w:sz w:val="22"/>
          <w:szCs w:val="22"/>
        </w:rPr>
        <w:t xml:space="preserve">Al-Ardhi FM, Novotny L, </w:t>
      </w:r>
      <w:proofErr w:type="spellStart"/>
      <w:r w:rsidRPr="001257E7">
        <w:rPr>
          <w:sz w:val="22"/>
          <w:szCs w:val="22"/>
        </w:rPr>
        <w:t>Alhunayan</w:t>
      </w:r>
      <w:proofErr w:type="spellEnd"/>
      <w:r w:rsidRPr="001257E7">
        <w:rPr>
          <w:sz w:val="22"/>
          <w:szCs w:val="22"/>
        </w:rPr>
        <w:t xml:space="preserve"> A, Al-</w:t>
      </w:r>
      <w:proofErr w:type="spellStart"/>
      <w:r w:rsidRPr="001257E7">
        <w:rPr>
          <w:sz w:val="22"/>
          <w:szCs w:val="22"/>
        </w:rPr>
        <w:t>Tannak</w:t>
      </w:r>
      <w:proofErr w:type="spellEnd"/>
      <w:r w:rsidRPr="001257E7">
        <w:rPr>
          <w:sz w:val="22"/>
          <w:szCs w:val="22"/>
        </w:rPr>
        <w:t xml:space="preserve"> NF et al. Comparison of remdesivir and favipiravir Covid-19 agents RNA constituents. 2022;166(1):12–20. </w:t>
      </w:r>
    </w:p>
    <w:p w14:paraId="51954EB2" w14:textId="77777777" w:rsidR="00B265A3" w:rsidRPr="001257E7" w:rsidRDefault="00B265A3" w:rsidP="00F72CB5">
      <w:pPr>
        <w:pStyle w:val="NormalWeb"/>
        <w:spacing w:before="0" w:beforeAutospacing="0" w:after="0" w:afterAutospacing="0"/>
        <w:ind w:left="540" w:hanging="540"/>
        <w:jc w:val="both"/>
        <w:rPr>
          <w:color w:val="000000" w:themeColor="text1"/>
          <w:sz w:val="22"/>
          <w:szCs w:val="22"/>
          <w:lang w:val="en-ID"/>
        </w:rPr>
      </w:pPr>
      <w:r w:rsidRPr="001257E7">
        <w:rPr>
          <w:color w:val="000000" w:themeColor="text1"/>
          <w:sz w:val="22"/>
          <w:szCs w:val="22"/>
          <w:lang w:val="en-ID"/>
        </w:rPr>
        <w:t xml:space="preserve">Bootman JL, Townsend RJ, </w:t>
      </w:r>
      <w:proofErr w:type="spellStart"/>
      <w:r w:rsidRPr="001257E7">
        <w:rPr>
          <w:color w:val="000000" w:themeColor="text1"/>
          <w:sz w:val="22"/>
          <w:szCs w:val="22"/>
          <w:lang w:val="en-ID"/>
        </w:rPr>
        <w:t>McGhan</w:t>
      </w:r>
      <w:proofErr w:type="spellEnd"/>
      <w:r w:rsidRPr="001257E7">
        <w:rPr>
          <w:color w:val="000000" w:themeColor="text1"/>
          <w:sz w:val="22"/>
          <w:szCs w:val="22"/>
          <w:lang w:val="en-ID"/>
        </w:rPr>
        <w:t xml:space="preserve"> WF et al. Introduction to Pharmacoeconomics. In: Bootman JL, Townsend RJ, </w:t>
      </w:r>
      <w:proofErr w:type="spellStart"/>
      <w:r w:rsidRPr="001257E7">
        <w:rPr>
          <w:color w:val="000000" w:themeColor="text1"/>
          <w:sz w:val="22"/>
          <w:szCs w:val="22"/>
          <w:lang w:val="en-ID"/>
        </w:rPr>
        <w:t>McGhan</w:t>
      </w:r>
      <w:proofErr w:type="spellEnd"/>
      <w:r w:rsidRPr="001257E7">
        <w:rPr>
          <w:color w:val="000000" w:themeColor="text1"/>
          <w:sz w:val="22"/>
          <w:szCs w:val="22"/>
          <w:lang w:val="en-ID"/>
        </w:rPr>
        <w:t xml:space="preserve"> WF, editors. Principles of Pharmacoeconomics. 3rd. Cincinnati: Harvey Whitney Books Company; 2005. p. 1-10. </w:t>
      </w:r>
    </w:p>
    <w:p w14:paraId="67F8EF15" w14:textId="77777777" w:rsidR="00B265A3" w:rsidRPr="00F72CB5" w:rsidRDefault="00B265A3" w:rsidP="00F72CB5">
      <w:pPr>
        <w:adjustRightInd w:val="0"/>
        <w:ind w:left="540" w:hanging="540"/>
        <w:jc w:val="both"/>
        <w:rPr>
          <w:rFonts w:ascii="Times New Roman" w:hAnsi="Times New Roman" w:cs="Times New Roman"/>
          <w:noProof/>
          <w:color w:val="000000" w:themeColor="text1"/>
          <w:sz w:val="22"/>
          <w:szCs w:val="22"/>
        </w:rPr>
      </w:pPr>
      <w:r w:rsidRPr="00F72CB5">
        <w:rPr>
          <w:rFonts w:ascii="Times New Roman" w:hAnsi="Times New Roman" w:cs="Times New Roman"/>
          <w:noProof/>
          <w:color w:val="000000" w:themeColor="text1"/>
          <w:sz w:val="22"/>
          <w:szCs w:val="22"/>
        </w:rPr>
        <w:t xml:space="preserve">De Queljoe D, Lorensia A, Widharta L, Widjaja S et al. Cost-Effectiveness Analysis of Pharmacotherapy for Hematemesis-Melena Treatment in Hospitalized Patients with Hepatic Cirrhosis. Indonesia Biomed J. 2013;5(1):43. </w:t>
      </w:r>
    </w:p>
    <w:p w14:paraId="53F8F276" w14:textId="5FAAAAED" w:rsidR="00B265A3" w:rsidRPr="00F72CB5" w:rsidRDefault="00B265A3" w:rsidP="00F72CB5">
      <w:pPr>
        <w:adjustRightInd w:val="0"/>
        <w:ind w:left="540" w:hanging="540"/>
        <w:jc w:val="both"/>
        <w:rPr>
          <w:rFonts w:ascii="Times New Roman" w:hAnsi="Times New Roman" w:cs="Times New Roman"/>
          <w:noProof/>
          <w:color w:val="000000" w:themeColor="text1"/>
          <w:sz w:val="22"/>
          <w:szCs w:val="22"/>
        </w:rPr>
      </w:pPr>
      <w:r w:rsidRPr="00F72CB5">
        <w:rPr>
          <w:rFonts w:ascii="Times New Roman" w:hAnsi="Times New Roman" w:cs="Times New Roman"/>
          <w:color w:val="000000" w:themeColor="text1"/>
          <w:sz w:val="22"/>
          <w:szCs w:val="22"/>
        </w:rPr>
        <w:t xml:space="preserve">Amelia, L., et al., </w:t>
      </w:r>
      <w:proofErr w:type="spellStart"/>
      <w:r w:rsidRPr="00F72CB5">
        <w:rPr>
          <w:rFonts w:ascii="Times New Roman" w:hAnsi="Times New Roman" w:cs="Times New Roman"/>
          <w:color w:val="000000" w:themeColor="text1"/>
          <w:sz w:val="22"/>
          <w:szCs w:val="22"/>
        </w:rPr>
        <w:t>Studi</w:t>
      </w:r>
      <w:proofErr w:type="spellEnd"/>
      <w:r w:rsidRPr="00F72CB5">
        <w:rPr>
          <w:rFonts w:ascii="Times New Roman" w:hAnsi="Times New Roman" w:cs="Times New Roman"/>
          <w:color w:val="000000" w:themeColor="text1"/>
          <w:sz w:val="22"/>
          <w:szCs w:val="22"/>
        </w:rPr>
        <w:t xml:space="preserve"> Cost-Consequences Analysis </w:t>
      </w:r>
      <w:proofErr w:type="spellStart"/>
      <w:r w:rsidRPr="00F72CB5">
        <w:rPr>
          <w:rFonts w:ascii="Times New Roman" w:hAnsi="Times New Roman" w:cs="Times New Roman"/>
          <w:color w:val="000000" w:themeColor="text1"/>
          <w:sz w:val="22"/>
          <w:szCs w:val="22"/>
        </w:rPr>
        <w:t>antara</w:t>
      </w:r>
      <w:proofErr w:type="spellEnd"/>
      <w:r w:rsidRPr="00F72CB5">
        <w:rPr>
          <w:rFonts w:ascii="Times New Roman" w:hAnsi="Times New Roman" w:cs="Times New Roman"/>
          <w:color w:val="000000" w:themeColor="text1"/>
          <w:sz w:val="22"/>
          <w:szCs w:val="22"/>
        </w:rPr>
        <w:t xml:space="preserve"> Salbutamol </w:t>
      </w:r>
      <w:proofErr w:type="spellStart"/>
      <w:r w:rsidRPr="00F72CB5">
        <w:rPr>
          <w:rFonts w:ascii="Times New Roman" w:hAnsi="Times New Roman" w:cs="Times New Roman"/>
          <w:color w:val="000000" w:themeColor="text1"/>
          <w:sz w:val="22"/>
          <w:szCs w:val="22"/>
        </w:rPr>
        <w:t>dengan</w:t>
      </w:r>
      <w:proofErr w:type="spellEnd"/>
      <w:r w:rsidRPr="00F72CB5">
        <w:rPr>
          <w:rFonts w:ascii="Times New Roman" w:hAnsi="Times New Roman" w:cs="Times New Roman"/>
          <w:color w:val="000000" w:themeColor="text1"/>
          <w:sz w:val="22"/>
          <w:szCs w:val="22"/>
        </w:rPr>
        <w:t xml:space="preserve"> </w:t>
      </w:r>
      <w:proofErr w:type="spellStart"/>
      <w:r w:rsidRPr="00F72CB5">
        <w:rPr>
          <w:rFonts w:ascii="Times New Roman" w:hAnsi="Times New Roman" w:cs="Times New Roman"/>
          <w:color w:val="000000" w:themeColor="text1"/>
          <w:sz w:val="22"/>
          <w:szCs w:val="22"/>
        </w:rPr>
        <w:t>Aminofilin</w:t>
      </w:r>
      <w:proofErr w:type="spellEnd"/>
      <w:r w:rsidRPr="00F72CB5">
        <w:rPr>
          <w:rFonts w:ascii="Times New Roman" w:hAnsi="Times New Roman" w:cs="Times New Roman"/>
          <w:color w:val="000000" w:themeColor="text1"/>
          <w:sz w:val="22"/>
          <w:szCs w:val="22"/>
        </w:rPr>
        <w:t xml:space="preserve"> </w:t>
      </w:r>
      <w:proofErr w:type="spellStart"/>
      <w:r w:rsidRPr="00F72CB5">
        <w:rPr>
          <w:rFonts w:ascii="Times New Roman" w:hAnsi="Times New Roman" w:cs="Times New Roman"/>
          <w:color w:val="000000" w:themeColor="text1"/>
          <w:sz w:val="22"/>
          <w:szCs w:val="22"/>
        </w:rPr>
        <w:t>untuk</w:t>
      </w:r>
      <w:proofErr w:type="spellEnd"/>
      <w:r w:rsidRPr="00F72CB5">
        <w:rPr>
          <w:rFonts w:ascii="Times New Roman" w:hAnsi="Times New Roman" w:cs="Times New Roman"/>
          <w:color w:val="000000" w:themeColor="text1"/>
          <w:sz w:val="22"/>
          <w:szCs w:val="22"/>
        </w:rPr>
        <w:t xml:space="preserve"> </w:t>
      </w:r>
      <w:proofErr w:type="spellStart"/>
      <w:r w:rsidRPr="00F72CB5">
        <w:rPr>
          <w:rFonts w:ascii="Times New Roman" w:hAnsi="Times New Roman" w:cs="Times New Roman"/>
          <w:color w:val="000000" w:themeColor="text1"/>
          <w:sz w:val="22"/>
          <w:szCs w:val="22"/>
        </w:rPr>
        <w:t>Pengobatan</w:t>
      </w:r>
      <w:proofErr w:type="spellEnd"/>
      <w:r w:rsidRPr="00F72CB5">
        <w:rPr>
          <w:rFonts w:ascii="Times New Roman" w:hAnsi="Times New Roman" w:cs="Times New Roman"/>
          <w:color w:val="000000" w:themeColor="text1"/>
          <w:sz w:val="22"/>
          <w:szCs w:val="22"/>
        </w:rPr>
        <w:t xml:space="preserve"> </w:t>
      </w:r>
      <w:proofErr w:type="spellStart"/>
      <w:r w:rsidRPr="00F72CB5">
        <w:rPr>
          <w:rFonts w:ascii="Times New Roman" w:hAnsi="Times New Roman" w:cs="Times New Roman"/>
          <w:color w:val="000000" w:themeColor="text1"/>
          <w:sz w:val="22"/>
          <w:szCs w:val="22"/>
        </w:rPr>
        <w:t>Serangan</w:t>
      </w:r>
      <w:proofErr w:type="spellEnd"/>
      <w:r w:rsidRPr="00F72CB5">
        <w:rPr>
          <w:rFonts w:ascii="Times New Roman" w:hAnsi="Times New Roman" w:cs="Times New Roman"/>
          <w:color w:val="000000" w:themeColor="text1"/>
          <w:sz w:val="22"/>
          <w:szCs w:val="22"/>
        </w:rPr>
        <w:t xml:space="preserve"> Asma, KELUWIH: </w:t>
      </w:r>
      <w:proofErr w:type="spellStart"/>
      <w:r w:rsidRPr="00F72CB5">
        <w:rPr>
          <w:rFonts w:ascii="Times New Roman" w:hAnsi="Times New Roman" w:cs="Times New Roman"/>
          <w:color w:val="000000" w:themeColor="text1"/>
          <w:sz w:val="22"/>
          <w:szCs w:val="22"/>
        </w:rPr>
        <w:t>Jurnal</w:t>
      </w:r>
      <w:proofErr w:type="spellEnd"/>
      <w:r w:rsidRPr="00F72CB5">
        <w:rPr>
          <w:rFonts w:ascii="Times New Roman" w:hAnsi="Times New Roman" w:cs="Times New Roman"/>
          <w:color w:val="000000" w:themeColor="text1"/>
          <w:sz w:val="22"/>
          <w:szCs w:val="22"/>
        </w:rPr>
        <w:t xml:space="preserve"> Kesehatan dan </w:t>
      </w:r>
      <w:proofErr w:type="spellStart"/>
      <w:r w:rsidRPr="00F72CB5">
        <w:rPr>
          <w:rFonts w:ascii="Times New Roman" w:hAnsi="Times New Roman" w:cs="Times New Roman"/>
          <w:color w:val="000000" w:themeColor="text1"/>
          <w:sz w:val="22"/>
          <w:szCs w:val="22"/>
        </w:rPr>
        <w:t>Kedokteran</w:t>
      </w:r>
      <w:proofErr w:type="spellEnd"/>
      <w:r w:rsidRPr="00F72CB5">
        <w:rPr>
          <w:rFonts w:ascii="Times New Roman" w:hAnsi="Times New Roman" w:cs="Times New Roman"/>
          <w:color w:val="000000" w:themeColor="text1"/>
          <w:sz w:val="22"/>
          <w:szCs w:val="22"/>
        </w:rPr>
        <w:t>, Vol. 1(2)</w:t>
      </w:r>
      <w:r w:rsidR="001257E7" w:rsidRPr="00F72CB5">
        <w:rPr>
          <w:rFonts w:ascii="Times New Roman" w:hAnsi="Times New Roman" w:cs="Times New Roman"/>
          <w:color w:val="000000" w:themeColor="text1"/>
          <w:sz w:val="22"/>
          <w:szCs w:val="22"/>
        </w:rPr>
        <w:t>,</w:t>
      </w:r>
      <w:r w:rsidRPr="00F72CB5">
        <w:rPr>
          <w:rFonts w:ascii="Times New Roman" w:hAnsi="Times New Roman" w:cs="Times New Roman"/>
          <w:color w:val="000000" w:themeColor="text1"/>
          <w:sz w:val="22"/>
          <w:szCs w:val="22"/>
        </w:rPr>
        <w:t xml:space="preserve"> 62-69, 2020</w:t>
      </w:r>
      <w:r w:rsidRPr="00F72CB5">
        <w:rPr>
          <w:rFonts w:ascii="Times New Roman" w:hAnsi="Times New Roman" w:cs="Times New Roman"/>
          <w:noProof/>
          <w:color w:val="000000" w:themeColor="text1"/>
          <w:sz w:val="22"/>
          <w:szCs w:val="22"/>
        </w:rPr>
        <w:t xml:space="preserve">. </w:t>
      </w:r>
    </w:p>
    <w:p w14:paraId="107A800C" w14:textId="77777777" w:rsidR="00B265A3" w:rsidRPr="001257E7" w:rsidRDefault="00B265A3" w:rsidP="00F72CB5">
      <w:pPr>
        <w:pStyle w:val="NormalWeb"/>
        <w:spacing w:before="0" w:beforeAutospacing="0" w:after="0" w:afterAutospacing="0"/>
        <w:ind w:left="540" w:hanging="540"/>
        <w:jc w:val="both"/>
        <w:rPr>
          <w:noProof/>
          <w:color w:val="000000" w:themeColor="text1"/>
          <w:sz w:val="22"/>
          <w:szCs w:val="22"/>
        </w:rPr>
      </w:pPr>
      <w:r w:rsidRPr="001257E7">
        <w:rPr>
          <w:noProof/>
          <w:color w:val="000000" w:themeColor="text1"/>
          <w:sz w:val="22"/>
          <w:szCs w:val="22"/>
        </w:rPr>
        <w:t xml:space="preserve">Leslie JL, Weddle E, Yum LK, Lin Y, Jenior ML, Ma JZ, et al. </w:t>
      </w:r>
      <w:r w:rsidRPr="001257E7">
        <w:rPr>
          <w:color w:val="000000" w:themeColor="text1"/>
          <w:sz w:val="22"/>
          <w:szCs w:val="22"/>
          <w:lang w:val="en-ID"/>
        </w:rPr>
        <w:t>Cost‐effectiveness of intensive care for hospitalized COVID-19 patients: experience from South Africa</w:t>
      </w:r>
      <w:r w:rsidRPr="001257E7">
        <w:rPr>
          <w:noProof/>
          <w:color w:val="000000" w:themeColor="text1"/>
          <w:sz w:val="22"/>
          <w:szCs w:val="22"/>
        </w:rPr>
        <w:t xml:space="preserve">. 2020;1–12. </w:t>
      </w:r>
    </w:p>
    <w:p w14:paraId="468F0468" w14:textId="77777777" w:rsidR="00B265A3" w:rsidRPr="00F72CB5" w:rsidRDefault="00B265A3" w:rsidP="00F72CB5">
      <w:pPr>
        <w:adjustRightInd w:val="0"/>
        <w:ind w:left="540" w:hanging="540"/>
        <w:jc w:val="both"/>
        <w:rPr>
          <w:rFonts w:ascii="Times New Roman" w:hAnsi="Times New Roman" w:cs="Times New Roman"/>
          <w:noProof/>
          <w:color w:val="000000" w:themeColor="text1"/>
          <w:sz w:val="22"/>
          <w:szCs w:val="22"/>
        </w:rPr>
      </w:pPr>
      <w:r w:rsidRPr="00F72CB5">
        <w:rPr>
          <w:rFonts w:ascii="Times New Roman" w:hAnsi="Times New Roman" w:cs="Times New Roman"/>
          <w:noProof/>
          <w:color w:val="000000" w:themeColor="text1"/>
          <w:sz w:val="22"/>
          <w:szCs w:val="22"/>
        </w:rPr>
        <w:t>Damayanti H, Sajinadiyasa IGK, Risni HW, Sauriasari R et al. The Effectiveness and Safety of Favipiravir in COVID-19 Hospitalized Patients at Tertiary Referral Hospital, Bali, Indonesia. Kesmas Nat</w:t>
      </w:r>
      <w:r w:rsidRPr="00F72CB5">
        <w:rPr>
          <w:rFonts w:ascii="Times New Roman" w:hAnsi="Times New Roman" w:cs="Times New Roman"/>
          <w:noProof/>
          <w:color w:val="000000" w:themeColor="text1"/>
          <w:sz w:val="22"/>
          <w:szCs w:val="22"/>
          <w:lang w:val="en-US"/>
        </w:rPr>
        <w:t>ional</w:t>
      </w:r>
      <w:r w:rsidRPr="00F72CB5">
        <w:rPr>
          <w:rFonts w:ascii="Times New Roman" w:hAnsi="Times New Roman" w:cs="Times New Roman"/>
          <w:noProof/>
          <w:color w:val="000000" w:themeColor="text1"/>
          <w:sz w:val="22"/>
          <w:szCs w:val="22"/>
        </w:rPr>
        <w:t xml:space="preserve"> Public Heal</w:t>
      </w:r>
      <w:r w:rsidRPr="00F72CB5">
        <w:rPr>
          <w:rFonts w:ascii="Times New Roman" w:hAnsi="Times New Roman" w:cs="Times New Roman"/>
          <w:noProof/>
          <w:color w:val="000000" w:themeColor="text1"/>
          <w:sz w:val="22"/>
          <w:szCs w:val="22"/>
          <w:lang w:val="en-US"/>
        </w:rPr>
        <w:t>th</w:t>
      </w:r>
      <w:r w:rsidRPr="00F72CB5">
        <w:rPr>
          <w:rFonts w:ascii="Times New Roman" w:hAnsi="Times New Roman" w:cs="Times New Roman"/>
          <w:noProof/>
          <w:color w:val="000000" w:themeColor="text1"/>
          <w:sz w:val="22"/>
          <w:szCs w:val="22"/>
        </w:rPr>
        <w:t xml:space="preserve"> J. 2021;16(4):289–97. </w:t>
      </w:r>
    </w:p>
    <w:p w14:paraId="77A8DE86" w14:textId="77777777" w:rsidR="00B265A3" w:rsidRPr="001257E7" w:rsidRDefault="00B265A3" w:rsidP="00F72CB5">
      <w:pPr>
        <w:pStyle w:val="NormalWeb"/>
        <w:spacing w:before="0" w:beforeAutospacing="0" w:after="0" w:afterAutospacing="0"/>
        <w:ind w:left="540" w:hanging="540"/>
        <w:jc w:val="both"/>
        <w:rPr>
          <w:sz w:val="22"/>
          <w:szCs w:val="22"/>
        </w:rPr>
      </w:pPr>
      <w:proofErr w:type="spellStart"/>
      <w:proofErr w:type="gramStart"/>
      <w:r w:rsidRPr="001257E7">
        <w:rPr>
          <w:color w:val="000000" w:themeColor="text1"/>
          <w:sz w:val="22"/>
          <w:szCs w:val="22"/>
          <w:lang w:val="en-ID"/>
        </w:rPr>
        <w:t>ie</w:t>
      </w:r>
      <w:proofErr w:type="spellEnd"/>
      <w:proofErr w:type="gramEnd"/>
      <w:r w:rsidRPr="001257E7">
        <w:rPr>
          <w:color w:val="000000" w:themeColor="text1"/>
          <w:sz w:val="22"/>
          <w:szCs w:val="22"/>
          <w:lang w:val="en-ID"/>
        </w:rPr>
        <w:t xml:space="preserve"> Cui et al. Origin and Evolution of Pathogenic Coronavirus, ICAS key Laboratory of Special Pathogenic and Biosafety, Wuhan Institute of Virology, Chinese Academy of Sciences, Wuhan, Hubei, China. 2019.</w:t>
      </w:r>
    </w:p>
    <w:p w14:paraId="246DA53B" w14:textId="77777777" w:rsidR="00B265A3" w:rsidRPr="001257E7" w:rsidRDefault="00B265A3" w:rsidP="00F72CB5">
      <w:pPr>
        <w:pStyle w:val="NormalWeb"/>
        <w:spacing w:before="0" w:beforeAutospacing="0" w:after="0" w:afterAutospacing="0"/>
        <w:ind w:left="540" w:hanging="540"/>
        <w:jc w:val="both"/>
        <w:rPr>
          <w:sz w:val="22"/>
          <w:szCs w:val="22"/>
        </w:rPr>
      </w:pPr>
      <w:r w:rsidRPr="001257E7">
        <w:rPr>
          <w:color w:val="000000" w:themeColor="text1"/>
          <w:sz w:val="22"/>
          <w:szCs w:val="22"/>
        </w:rPr>
        <w:t xml:space="preserve">Lam S, Lombardi A, </w:t>
      </w:r>
      <w:proofErr w:type="spellStart"/>
      <w:r w:rsidRPr="001257E7">
        <w:rPr>
          <w:color w:val="000000" w:themeColor="text1"/>
          <w:sz w:val="22"/>
          <w:szCs w:val="22"/>
        </w:rPr>
        <w:t>Ouanounou</w:t>
      </w:r>
      <w:proofErr w:type="spellEnd"/>
      <w:r w:rsidRPr="001257E7">
        <w:rPr>
          <w:color w:val="000000" w:themeColor="text1"/>
          <w:sz w:val="22"/>
          <w:szCs w:val="22"/>
        </w:rPr>
        <w:t xml:space="preserve"> A. COVID-19: A review of the proposed pharmacological treatments. </w:t>
      </w:r>
      <w:proofErr w:type="spellStart"/>
      <w:r w:rsidRPr="001257E7">
        <w:rPr>
          <w:color w:val="000000" w:themeColor="text1"/>
          <w:sz w:val="22"/>
          <w:szCs w:val="22"/>
        </w:rPr>
        <w:t>Eur</w:t>
      </w:r>
      <w:proofErr w:type="spellEnd"/>
      <w:r w:rsidRPr="001257E7">
        <w:rPr>
          <w:color w:val="000000" w:themeColor="text1"/>
          <w:sz w:val="22"/>
          <w:szCs w:val="22"/>
        </w:rPr>
        <w:t xml:space="preserve"> J </w:t>
      </w:r>
      <w:proofErr w:type="spellStart"/>
      <w:r w:rsidRPr="001257E7">
        <w:rPr>
          <w:color w:val="000000" w:themeColor="text1"/>
          <w:sz w:val="22"/>
          <w:szCs w:val="22"/>
        </w:rPr>
        <w:t>Pharmacol</w:t>
      </w:r>
      <w:proofErr w:type="spellEnd"/>
      <w:r w:rsidRPr="001257E7">
        <w:rPr>
          <w:color w:val="000000" w:themeColor="text1"/>
          <w:sz w:val="22"/>
          <w:szCs w:val="22"/>
        </w:rPr>
        <w:t>. 2020,1;886:173451.</w:t>
      </w:r>
    </w:p>
    <w:p w14:paraId="45D5D2CB" w14:textId="77777777" w:rsidR="00771E2E" w:rsidRPr="001257E7" w:rsidRDefault="00771E2E" w:rsidP="001257E7">
      <w:pPr>
        <w:jc w:val="both"/>
        <w:rPr>
          <w:rFonts w:ascii="Times New Roman" w:hAnsi="Times New Roman" w:cs="Times New Roman"/>
          <w:b/>
          <w:bCs/>
          <w:sz w:val="22"/>
          <w:szCs w:val="22"/>
        </w:rPr>
      </w:pPr>
    </w:p>
    <w:p w14:paraId="1E98AF6F" w14:textId="77777777" w:rsidR="00DC4C0A" w:rsidRPr="001257E7" w:rsidRDefault="00DC4C0A" w:rsidP="001257E7">
      <w:pPr>
        <w:jc w:val="both"/>
        <w:rPr>
          <w:rFonts w:ascii="Times New Roman" w:hAnsi="Times New Roman" w:cs="Times New Roman"/>
          <w:b/>
          <w:bCs/>
          <w:sz w:val="22"/>
          <w:szCs w:val="22"/>
        </w:rPr>
      </w:pPr>
      <w:r w:rsidRPr="001257E7">
        <w:rPr>
          <w:rFonts w:ascii="Times New Roman" w:hAnsi="Times New Roman" w:cs="Times New Roman"/>
          <w:b/>
          <w:bCs/>
          <w:sz w:val="22"/>
          <w:szCs w:val="22"/>
        </w:rPr>
        <w:lastRenderedPageBreak/>
        <w:t xml:space="preserve"> </w:t>
      </w:r>
    </w:p>
    <w:p w14:paraId="6486397D" w14:textId="77777777" w:rsidR="00DC4C0A" w:rsidRPr="001257E7" w:rsidRDefault="00DC4C0A" w:rsidP="001257E7">
      <w:pPr>
        <w:jc w:val="both"/>
        <w:rPr>
          <w:rFonts w:ascii="Times New Roman" w:hAnsi="Times New Roman" w:cs="Times New Roman"/>
          <w:b/>
          <w:bCs/>
          <w:sz w:val="22"/>
          <w:szCs w:val="22"/>
        </w:rPr>
      </w:pPr>
    </w:p>
    <w:p w14:paraId="36F39392" w14:textId="77777777" w:rsidR="00DC4C0A" w:rsidRPr="001257E7" w:rsidRDefault="00DC4C0A" w:rsidP="001257E7">
      <w:pPr>
        <w:jc w:val="both"/>
        <w:rPr>
          <w:rFonts w:ascii="Times New Roman" w:hAnsi="Times New Roman" w:cs="Times New Roman"/>
          <w:b/>
          <w:bCs/>
          <w:sz w:val="22"/>
          <w:szCs w:val="22"/>
        </w:rPr>
      </w:pPr>
    </w:p>
    <w:p w14:paraId="76195DC6" w14:textId="002531AD" w:rsidR="00935685" w:rsidRPr="001257E7" w:rsidRDefault="00935685" w:rsidP="001257E7">
      <w:pPr>
        <w:jc w:val="both"/>
        <w:rPr>
          <w:rFonts w:ascii="Times New Roman" w:hAnsi="Times New Roman" w:cs="Times New Roman"/>
          <w:sz w:val="22"/>
          <w:szCs w:val="22"/>
        </w:rPr>
      </w:pPr>
    </w:p>
    <w:sectPr w:rsidR="00935685" w:rsidRPr="001257E7" w:rsidSect="00174E61">
      <w:headerReference w:type="default" r:id="rId11"/>
      <w:footerReference w:type="even" r:id="rId12"/>
      <w:footerReference w:type="default" r:id="rId13"/>
      <w:pgSz w:w="11900" w:h="16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66ADA" w14:textId="77777777" w:rsidR="00F45C3C" w:rsidRDefault="00F45C3C" w:rsidP="005F32AD">
      <w:r>
        <w:rPr>
          <w:lang w:val="en"/>
        </w:rPr>
        <w:separator/>
      </w:r>
    </w:p>
  </w:endnote>
  <w:endnote w:type="continuationSeparator" w:id="0">
    <w:p w14:paraId="28AA843A" w14:textId="77777777" w:rsidR="00F45C3C" w:rsidRDefault="00F45C3C" w:rsidP="005F32AD">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928934043"/>
      <w:docPartObj>
        <w:docPartGallery w:val="Page Numbers (Bottom of Page)"/>
        <w:docPartUnique/>
      </w:docPartObj>
    </w:sdtPr>
    <w:sdtContent>
      <w:p w14:paraId="631C4379" w14:textId="3CA37345" w:rsidR="005F32AD" w:rsidRDefault="005F32AD" w:rsidP="00585A15">
        <w:pPr>
          <w:pStyle w:val="Footer"/>
          <w:framePr w:wrap="none" w:vAnchor="text" w:hAnchor="margin" w:xAlign="center" w:y="1"/>
          <w:rPr>
            <w:rStyle w:val="NomorHalaman"/>
          </w:rPr>
        </w:pPr>
        <w:r>
          <w:rPr>
            <w:rStyle w:val="NomorHalaman"/>
            <w:lang w:val="en"/>
          </w:rPr>
          <w:fldChar w:fldCharType="begin"/>
        </w:r>
        <w:r>
          <w:rPr>
            <w:rStyle w:val="NomorHalaman"/>
            <w:lang w:val="en"/>
          </w:rPr>
          <w:instrText xml:space="preserve"> PAGE </w:instrText>
        </w:r>
        <w:r>
          <w:rPr>
            <w:rStyle w:val="NomorHalaman"/>
            <w:lang w:val="en"/>
          </w:rPr>
          <w:fldChar w:fldCharType="end"/>
        </w:r>
      </w:p>
    </w:sdtContent>
  </w:sdt>
  <w:p w14:paraId="43C47729" w14:textId="77777777" w:rsidR="005F32AD" w:rsidRDefault="005F3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309512141"/>
      <w:docPartObj>
        <w:docPartGallery w:val="Page Numbers (Bottom of Page)"/>
        <w:docPartUnique/>
      </w:docPartObj>
    </w:sdtPr>
    <w:sdtContent>
      <w:p w14:paraId="6F889FD2" w14:textId="2271C34A" w:rsidR="005F32AD" w:rsidRDefault="005F32AD" w:rsidP="00585A15">
        <w:pPr>
          <w:pStyle w:val="Footer"/>
          <w:framePr w:wrap="none" w:vAnchor="text" w:hAnchor="margin" w:xAlign="center" w:y="1"/>
          <w:rPr>
            <w:rStyle w:val="NomorHalaman"/>
          </w:rPr>
        </w:pPr>
        <w:r>
          <w:rPr>
            <w:rStyle w:val="NomorHalaman"/>
            <w:lang w:val="en"/>
          </w:rPr>
          <w:fldChar w:fldCharType="begin"/>
        </w:r>
        <w:r>
          <w:rPr>
            <w:rStyle w:val="NomorHalaman"/>
            <w:lang w:val="en"/>
          </w:rPr>
          <w:instrText xml:space="preserve"> PAGE </w:instrText>
        </w:r>
        <w:r>
          <w:rPr>
            <w:rStyle w:val="NomorHalaman"/>
            <w:lang w:val="en"/>
          </w:rPr>
          <w:fldChar w:fldCharType="separate"/>
        </w:r>
        <w:r>
          <w:rPr>
            <w:rStyle w:val="NomorHalaman"/>
            <w:noProof/>
            <w:lang w:val="en"/>
          </w:rPr>
          <w:t>1</w:t>
        </w:r>
        <w:r>
          <w:rPr>
            <w:rStyle w:val="NomorHalaman"/>
            <w:lang w:val="en"/>
          </w:rPr>
          <w:fldChar w:fldCharType="end"/>
        </w:r>
      </w:p>
    </w:sdtContent>
  </w:sdt>
  <w:p w14:paraId="279A8FBA" w14:textId="77777777" w:rsidR="005F32AD" w:rsidRDefault="005F3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7D087" w14:textId="77777777" w:rsidR="00F45C3C" w:rsidRDefault="00F45C3C" w:rsidP="005F32AD">
      <w:r>
        <w:rPr>
          <w:lang w:val="en"/>
        </w:rPr>
        <w:separator/>
      </w:r>
    </w:p>
  </w:footnote>
  <w:footnote w:type="continuationSeparator" w:id="0">
    <w:p w14:paraId="58A5BE06" w14:textId="77777777" w:rsidR="00F45C3C" w:rsidRDefault="00F45C3C" w:rsidP="005F32AD">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9B22" w14:textId="77777777" w:rsidR="00F72CB5" w:rsidRDefault="00F72CB5" w:rsidP="00F72CB5">
    <w:pPr>
      <w:pStyle w:val="Header"/>
      <w:rPr>
        <w:rFonts w:ascii="Yu Gothic" w:eastAsia="Yu Gothic" w:hAnsi="Yu Gothic"/>
        <w:b/>
      </w:rPr>
    </w:pPr>
    <w:r>
      <w:rPr>
        <w:rFonts w:ascii="Yu Gothic" w:eastAsia="Yu Gothic" w:hAnsi="Yu Gothic"/>
        <w:b/>
        <w:noProof/>
      </w:rPr>
      <w:drawing>
        <wp:inline distT="0" distB="0" distL="0" distR="0" wp14:anchorId="5B3225D5" wp14:editId="2DE24175">
          <wp:extent cx="1404416" cy="381635"/>
          <wp:effectExtent l="0" t="0" r="5715" b="0"/>
          <wp:docPr id="1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MERAH SI o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6769" cy="384992"/>
                  </a:xfrm>
                  <a:prstGeom prst="rect">
                    <a:avLst/>
                  </a:prstGeom>
                </pic:spPr>
              </pic:pic>
            </a:graphicData>
          </a:graphic>
        </wp:inline>
      </w:drawing>
    </w:r>
  </w:p>
  <w:p w14:paraId="39A7282A" w14:textId="77777777" w:rsidR="00F72CB5" w:rsidRDefault="00F72CB5" w:rsidP="00F72CB5">
    <w:pPr>
      <w:pStyle w:val="Header"/>
      <w:rPr>
        <w:rFonts w:ascii="Yu Gothic" w:eastAsia="Yu Gothic" w:hAnsi="Yu Gothic"/>
        <w:b/>
      </w:rPr>
    </w:pPr>
    <w:hyperlink r:id="rId2" w:history="1">
      <w:r w:rsidRPr="005E368C">
        <w:rPr>
          <w:rStyle w:val="Hyperlink"/>
          <w:rFonts w:ascii="Yu Gothic" w:eastAsia="Yu Gothic" w:hAnsi="Yu Gothic"/>
          <w:b/>
        </w:rPr>
        <w:t>http://infor.seaninstitute.org/index.php/pendidikan</w:t>
      </w:r>
    </w:hyperlink>
    <w:r>
      <w:rPr>
        <w:rStyle w:val="Hyperlink"/>
        <w:rFonts w:ascii="Yu Gothic" w:eastAsia="Yu Gothic" w:hAnsi="Yu Gothic"/>
        <w:b/>
      </w:rPr>
      <w:t xml:space="preserve"> </w:t>
    </w:r>
  </w:p>
  <w:p w14:paraId="5CBCB1AB" w14:textId="77777777" w:rsidR="00F72CB5" w:rsidRDefault="00F72CB5" w:rsidP="00F72CB5">
    <w:pPr>
      <w:pStyle w:val="Header"/>
    </w:pPr>
    <w:proofErr w:type="spellStart"/>
    <w:r>
      <w:rPr>
        <w:rFonts w:ascii="Yu Gothic" w:eastAsia="Yu Gothic" w:hAnsi="Yu Gothic"/>
        <w:b/>
      </w:rPr>
      <w:t>Jurnal</w:t>
    </w:r>
    <w:proofErr w:type="spellEnd"/>
    <w:r>
      <w:rPr>
        <w:rFonts w:ascii="Yu Gothic" w:eastAsia="Yu Gothic" w:hAnsi="Yu Gothic"/>
        <w:b/>
      </w:rPr>
      <w:t xml:space="preserve"> Scientia </w:t>
    </w:r>
  </w:p>
  <w:p w14:paraId="24D18CC6" w14:textId="77777777" w:rsidR="00F72CB5" w:rsidRPr="00F72CB5" w:rsidRDefault="00F72CB5" w:rsidP="00F72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8200452"/>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BA5B90"/>
    <w:multiLevelType w:val="multilevel"/>
    <w:tmpl w:val="2B5CF8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E26497"/>
    <w:multiLevelType w:val="multilevel"/>
    <w:tmpl w:val="89EA6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D3384"/>
    <w:multiLevelType w:val="multilevel"/>
    <w:tmpl w:val="F8B8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CF28BE"/>
    <w:multiLevelType w:val="hybridMultilevel"/>
    <w:tmpl w:val="E57C5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70398"/>
    <w:multiLevelType w:val="multilevel"/>
    <w:tmpl w:val="0BB6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782AE2"/>
    <w:multiLevelType w:val="hybridMultilevel"/>
    <w:tmpl w:val="0B761F58"/>
    <w:lvl w:ilvl="0" w:tplc="EFCC1E30">
      <w:start w:val="2"/>
      <w:numFmt w:val="lowerLetter"/>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54410"/>
    <w:multiLevelType w:val="multilevel"/>
    <w:tmpl w:val="D876DC1C"/>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580870851">
    <w:abstractNumId w:val="4"/>
  </w:num>
  <w:num w:numId="2" w16cid:durableId="1887836059">
    <w:abstractNumId w:val="1"/>
  </w:num>
  <w:num w:numId="3" w16cid:durableId="795367853">
    <w:abstractNumId w:val="6"/>
  </w:num>
  <w:num w:numId="4" w16cid:durableId="539167954">
    <w:abstractNumId w:val="7"/>
  </w:num>
  <w:num w:numId="5" w16cid:durableId="1289698377">
    <w:abstractNumId w:val="0"/>
  </w:num>
  <w:num w:numId="6" w16cid:durableId="409159325">
    <w:abstractNumId w:val="2"/>
  </w:num>
  <w:num w:numId="7" w16cid:durableId="1091926455">
    <w:abstractNumId w:val="3"/>
  </w:num>
  <w:num w:numId="8" w16cid:durableId="128744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DE"/>
    <w:rsid w:val="0003400E"/>
    <w:rsid w:val="000954F8"/>
    <w:rsid w:val="000D3EAD"/>
    <w:rsid w:val="001050FD"/>
    <w:rsid w:val="001257E7"/>
    <w:rsid w:val="00174E61"/>
    <w:rsid w:val="001923FC"/>
    <w:rsid w:val="001A34DE"/>
    <w:rsid w:val="001A731F"/>
    <w:rsid w:val="002229F4"/>
    <w:rsid w:val="002F0880"/>
    <w:rsid w:val="002F2A0C"/>
    <w:rsid w:val="003214B2"/>
    <w:rsid w:val="0034026F"/>
    <w:rsid w:val="003A304B"/>
    <w:rsid w:val="003A36DF"/>
    <w:rsid w:val="003C4467"/>
    <w:rsid w:val="003D59BD"/>
    <w:rsid w:val="004649BF"/>
    <w:rsid w:val="004B609E"/>
    <w:rsid w:val="004F1D63"/>
    <w:rsid w:val="00560D90"/>
    <w:rsid w:val="00561E8C"/>
    <w:rsid w:val="005735AB"/>
    <w:rsid w:val="005B33CF"/>
    <w:rsid w:val="005E204A"/>
    <w:rsid w:val="005F32AD"/>
    <w:rsid w:val="00617361"/>
    <w:rsid w:val="00622087"/>
    <w:rsid w:val="00626E92"/>
    <w:rsid w:val="0066065B"/>
    <w:rsid w:val="00677BF4"/>
    <w:rsid w:val="006A3FA0"/>
    <w:rsid w:val="006B267F"/>
    <w:rsid w:val="006F0890"/>
    <w:rsid w:val="00720D84"/>
    <w:rsid w:val="00732362"/>
    <w:rsid w:val="00771E2E"/>
    <w:rsid w:val="007810EE"/>
    <w:rsid w:val="0079501D"/>
    <w:rsid w:val="007B7F03"/>
    <w:rsid w:val="007D319C"/>
    <w:rsid w:val="00902D65"/>
    <w:rsid w:val="00926FE5"/>
    <w:rsid w:val="00935685"/>
    <w:rsid w:val="0094464E"/>
    <w:rsid w:val="00A56887"/>
    <w:rsid w:val="00B16E1C"/>
    <w:rsid w:val="00B265A3"/>
    <w:rsid w:val="00B53F90"/>
    <w:rsid w:val="00BA175E"/>
    <w:rsid w:val="00BE12B3"/>
    <w:rsid w:val="00C159C6"/>
    <w:rsid w:val="00CA722B"/>
    <w:rsid w:val="00CB76D7"/>
    <w:rsid w:val="00CE4EA5"/>
    <w:rsid w:val="00D03AF6"/>
    <w:rsid w:val="00D603DB"/>
    <w:rsid w:val="00DC4C0A"/>
    <w:rsid w:val="00DD5261"/>
    <w:rsid w:val="00E2026D"/>
    <w:rsid w:val="00E91D13"/>
    <w:rsid w:val="00E92FBA"/>
    <w:rsid w:val="00F35929"/>
    <w:rsid w:val="00F45C3C"/>
    <w:rsid w:val="00F72ABA"/>
    <w:rsid w:val="00F72CB5"/>
    <w:rsid w:val="00F77F6A"/>
    <w:rsid w:val="00F95A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7CB7"/>
  <w15:chartTrackingRefBased/>
  <w15:docId w15:val="{983FFB9B-072A-2644-AF36-52F447D6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1A34DE"/>
    <w:pPr>
      <w:ind w:left="720"/>
      <w:contextualSpacing/>
    </w:pPr>
  </w:style>
  <w:style w:type="character" w:styleId="Hyperlink">
    <w:name w:val="Hyperlink"/>
    <w:basedOn w:val="FontParagrafDefault"/>
    <w:uiPriority w:val="99"/>
    <w:unhideWhenUsed/>
    <w:rsid w:val="001A34DE"/>
    <w:rPr>
      <w:color w:val="0563C1" w:themeColor="hyperlink"/>
      <w:u w:val="single"/>
    </w:rPr>
  </w:style>
  <w:style w:type="character" w:styleId="SebutanYangBelumTerselesaikan">
    <w:name w:val="Unresolved Mention"/>
    <w:basedOn w:val="FontParagrafDefault"/>
    <w:uiPriority w:val="99"/>
    <w:semiHidden/>
    <w:unhideWhenUsed/>
    <w:rsid w:val="001A34DE"/>
    <w:rPr>
      <w:color w:val="605E5C"/>
      <w:shd w:val="clear" w:color="auto" w:fill="E1DFDD"/>
    </w:rPr>
  </w:style>
  <w:style w:type="paragraph" w:styleId="NormalWeb">
    <w:name w:val="Normal (Web)"/>
    <w:basedOn w:val="Normal"/>
    <w:uiPriority w:val="99"/>
    <w:unhideWhenUsed/>
    <w:rsid w:val="005735AB"/>
    <w:pPr>
      <w:spacing w:before="100" w:beforeAutospacing="1" w:after="100" w:afterAutospacing="1"/>
    </w:pPr>
    <w:rPr>
      <w:rFonts w:ascii="Times New Roman" w:eastAsia="Times New Roman" w:hAnsi="Times New Roman" w:cs="Times New Roman"/>
      <w:lang w:val="en-US"/>
    </w:rPr>
  </w:style>
  <w:style w:type="table" w:styleId="TabelBiasa2">
    <w:name w:val="Plain Table 2"/>
    <w:basedOn w:val="TabelNormal"/>
    <w:uiPriority w:val="42"/>
    <w:rsid w:val="005E204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Biasa3">
    <w:name w:val="Plain Table 3"/>
    <w:basedOn w:val="TabelNormal"/>
    <w:uiPriority w:val="43"/>
    <w:rsid w:val="00B53F9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ksIsi2">
    <w:name w:val="Body Text 2"/>
    <w:basedOn w:val="Normal"/>
    <w:link w:val="TeksIsi2KAR"/>
    <w:rsid w:val="005F32AD"/>
    <w:pPr>
      <w:jc w:val="center"/>
    </w:pPr>
    <w:rPr>
      <w:rFonts w:ascii="Arial Narrow" w:eastAsia="Times New Roman" w:hAnsi="Arial Narrow" w:cs="Times New Roman"/>
      <w:b/>
      <w:color w:val="000000"/>
      <w:sz w:val="40"/>
      <w:szCs w:val="20"/>
      <w:lang w:val="en-US"/>
    </w:rPr>
  </w:style>
  <w:style w:type="character" w:customStyle="1" w:styleId="TeksIsi2KAR">
    <w:name w:val="Teks Isi 2 KAR"/>
    <w:basedOn w:val="FontParagrafDefault"/>
    <w:link w:val="TeksIsi2"/>
    <w:rsid w:val="005F32AD"/>
    <w:rPr>
      <w:rFonts w:ascii="Arial Narrow" w:eastAsia="Times New Roman" w:hAnsi="Arial Narrow" w:cs="Times New Roman"/>
      <w:b/>
      <w:color w:val="000000"/>
      <w:sz w:val="40"/>
      <w:szCs w:val="20"/>
      <w:lang w:val="en-US"/>
    </w:rPr>
  </w:style>
  <w:style w:type="character" w:styleId="HiperlinkyangDiikuti">
    <w:name w:val="FollowedHyperlink"/>
    <w:basedOn w:val="FontParagrafDefault"/>
    <w:uiPriority w:val="99"/>
    <w:semiHidden/>
    <w:unhideWhenUsed/>
    <w:rsid w:val="005F32AD"/>
    <w:rPr>
      <w:color w:val="954F72" w:themeColor="followedHyperlink"/>
      <w:u w:val="single"/>
    </w:rPr>
  </w:style>
  <w:style w:type="paragraph" w:styleId="Footer">
    <w:name w:val="footer"/>
    <w:basedOn w:val="Normal"/>
    <w:link w:val="FooterKAR"/>
    <w:uiPriority w:val="99"/>
    <w:unhideWhenUsed/>
    <w:rsid w:val="005F32AD"/>
    <w:pPr>
      <w:tabs>
        <w:tab w:val="center" w:pos="4680"/>
        <w:tab w:val="right" w:pos="9360"/>
      </w:tabs>
    </w:pPr>
  </w:style>
  <w:style w:type="character" w:customStyle="1" w:styleId="FooterKAR">
    <w:name w:val="Footer KAR"/>
    <w:basedOn w:val="FontParagrafDefault"/>
    <w:link w:val="Footer"/>
    <w:uiPriority w:val="99"/>
    <w:rsid w:val="005F32AD"/>
  </w:style>
  <w:style w:type="character" w:styleId="NomorHalaman">
    <w:name w:val="page number"/>
    <w:basedOn w:val="FontParagrafDefault"/>
    <w:uiPriority w:val="99"/>
    <w:semiHidden/>
    <w:unhideWhenUsed/>
    <w:rsid w:val="005F32AD"/>
  </w:style>
  <w:style w:type="character" w:styleId="Tempatpenampungteks">
    <w:name w:val="Placeholder Text"/>
    <w:basedOn w:val="FontParagrafDefault"/>
    <w:uiPriority w:val="99"/>
    <w:semiHidden/>
    <w:rsid w:val="00174E61"/>
    <w:rPr>
      <w:color w:val="808080"/>
    </w:rPr>
  </w:style>
  <w:style w:type="paragraph" w:styleId="Header">
    <w:name w:val="header"/>
    <w:basedOn w:val="Normal"/>
    <w:link w:val="HeaderKAR"/>
    <w:uiPriority w:val="99"/>
    <w:unhideWhenUsed/>
    <w:rsid w:val="00F72CB5"/>
    <w:pPr>
      <w:tabs>
        <w:tab w:val="center" w:pos="4680"/>
        <w:tab w:val="right" w:pos="9360"/>
      </w:tabs>
    </w:pPr>
  </w:style>
  <w:style w:type="character" w:customStyle="1" w:styleId="HeaderKAR">
    <w:name w:val="Header KAR"/>
    <w:basedOn w:val="FontParagrafDefault"/>
    <w:link w:val="Header"/>
    <w:uiPriority w:val="99"/>
    <w:rsid w:val="00F72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0430">
      <w:bodyDiv w:val="1"/>
      <w:marLeft w:val="0"/>
      <w:marRight w:val="0"/>
      <w:marTop w:val="0"/>
      <w:marBottom w:val="0"/>
      <w:divBdr>
        <w:top w:val="none" w:sz="0" w:space="0" w:color="auto"/>
        <w:left w:val="none" w:sz="0" w:space="0" w:color="auto"/>
        <w:bottom w:val="none" w:sz="0" w:space="0" w:color="auto"/>
        <w:right w:val="none" w:sz="0" w:space="0" w:color="auto"/>
      </w:divBdr>
      <w:divsChild>
        <w:div w:id="946887690">
          <w:marLeft w:val="0"/>
          <w:marRight w:val="0"/>
          <w:marTop w:val="0"/>
          <w:marBottom w:val="0"/>
          <w:divBdr>
            <w:top w:val="none" w:sz="0" w:space="0" w:color="auto"/>
            <w:left w:val="none" w:sz="0" w:space="0" w:color="auto"/>
            <w:bottom w:val="none" w:sz="0" w:space="0" w:color="auto"/>
            <w:right w:val="none" w:sz="0" w:space="0" w:color="auto"/>
          </w:divBdr>
          <w:divsChild>
            <w:div w:id="726226808">
              <w:marLeft w:val="0"/>
              <w:marRight w:val="0"/>
              <w:marTop w:val="0"/>
              <w:marBottom w:val="0"/>
              <w:divBdr>
                <w:top w:val="none" w:sz="0" w:space="0" w:color="auto"/>
                <w:left w:val="none" w:sz="0" w:space="0" w:color="auto"/>
                <w:bottom w:val="none" w:sz="0" w:space="0" w:color="auto"/>
                <w:right w:val="none" w:sz="0" w:space="0" w:color="auto"/>
              </w:divBdr>
              <w:divsChild>
                <w:div w:id="19704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36809">
      <w:bodyDiv w:val="1"/>
      <w:marLeft w:val="0"/>
      <w:marRight w:val="0"/>
      <w:marTop w:val="0"/>
      <w:marBottom w:val="0"/>
      <w:divBdr>
        <w:top w:val="none" w:sz="0" w:space="0" w:color="auto"/>
        <w:left w:val="none" w:sz="0" w:space="0" w:color="auto"/>
        <w:bottom w:val="none" w:sz="0" w:space="0" w:color="auto"/>
        <w:right w:val="none" w:sz="0" w:space="0" w:color="auto"/>
      </w:divBdr>
      <w:divsChild>
        <w:div w:id="767847892">
          <w:marLeft w:val="0"/>
          <w:marRight w:val="0"/>
          <w:marTop w:val="0"/>
          <w:marBottom w:val="0"/>
          <w:divBdr>
            <w:top w:val="none" w:sz="0" w:space="0" w:color="auto"/>
            <w:left w:val="none" w:sz="0" w:space="0" w:color="auto"/>
            <w:bottom w:val="none" w:sz="0" w:space="0" w:color="auto"/>
            <w:right w:val="none" w:sz="0" w:space="0" w:color="auto"/>
          </w:divBdr>
          <w:divsChild>
            <w:div w:id="400905593">
              <w:marLeft w:val="0"/>
              <w:marRight w:val="0"/>
              <w:marTop w:val="0"/>
              <w:marBottom w:val="0"/>
              <w:divBdr>
                <w:top w:val="none" w:sz="0" w:space="0" w:color="auto"/>
                <w:left w:val="none" w:sz="0" w:space="0" w:color="auto"/>
                <w:bottom w:val="none" w:sz="0" w:space="0" w:color="auto"/>
                <w:right w:val="none" w:sz="0" w:space="0" w:color="auto"/>
              </w:divBdr>
              <w:divsChild>
                <w:div w:id="1425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32866">
      <w:bodyDiv w:val="1"/>
      <w:marLeft w:val="0"/>
      <w:marRight w:val="0"/>
      <w:marTop w:val="0"/>
      <w:marBottom w:val="0"/>
      <w:divBdr>
        <w:top w:val="none" w:sz="0" w:space="0" w:color="auto"/>
        <w:left w:val="none" w:sz="0" w:space="0" w:color="auto"/>
        <w:bottom w:val="none" w:sz="0" w:space="0" w:color="auto"/>
        <w:right w:val="none" w:sz="0" w:space="0" w:color="auto"/>
      </w:divBdr>
      <w:divsChild>
        <w:div w:id="1105081809">
          <w:marLeft w:val="0"/>
          <w:marRight w:val="0"/>
          <w:marTop w:val="0"/>
          <w:marBottom w:val="0"/>
          <w:divBdr>
            <w:top w:val="none" w:sz="0" w:space="0" w:color="auto"/>
            <w:left w:val="none" w:sz="0" w:space="0" w:color="auto"/>
            <w:bottom w:val="none" w:sz="0" w:space="0" w:color="auto"/>
            <w:right w:val="none" w:sz="0" w:space="0" w:color="auto"/>
          </w:divBdr>
          <w:divsChild>
            <w:div w:id="1742100985">
              <w:marLeft w:val="0"/>
              <w:marRight w:val="0"/>
              <w:marTop w:val="0"/>
              <w:marBottom w:val="0"/>
              <w:divBdr>
                <w:top w:val="none" w:sz="0" w:space="0" w:color="auto"/>
                <w:left w:val="none" w:sz="0" w:space="0" w:color="auto"/>
                <w:bottom w:val="none" w:sz="0" w:space="0" w:color="auto"/>
                <w:right w:val="none" w:sz="0" w:space="0" w:color="auto"/>
              </w:divBdr>
              <w:divsChild>
                <w:div w:id="827210545">
                  <w:marLeft w:val="0"/>
                  <w:marRight w:val="0"/>
                  <w:marTop w:val="0"/>
                  <w:marBottom w:val="0"/>
                  <w:divBdr>
                    <w:top w:val="none" w:sz="0" w:space="0" w:color="auto"/>
                    <w:left w:val="none" w:sz="0" w:space="0" w:color="auto"/>
                    <w:bottom w:val="none" w:sz="0" w:space="0" w:color="auto"/>
                    <w:right w:val="none" w:sz="0" w:space="0" w:color="auto"/>
                  </w:divBdr>
                  <w:divsChild>
                    <w:div w:id="8829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9095">
      <w:bodyDiv w:val="1"/>
      <w:marLeft w:val="0"/>
      <w:marRight w:val="0"/>
      <w:marTop w:val="0"/>
      <w:marBottom w:val="0"/>
      <w:divBdr>
        <w:top w:val="none" w:sz="0" w:space="0" w:color="auto"/>
        <w:left w:val="none" w:sz="0" w:space="0" w:color="auto"/>
        <w:bottom w:val="none" w:sz="0" w:space="0" w:color="auto"/>
        <w:right w:val="none" w:sz="0" w:space="0" w:color="auto"/>
      </w:divBdr>
      <w:divsChild>
        <w:div w:id="1310093691">
          <w:marLeft w:val="0"/>
          <w:marRight w:val="0"/>
          <w:marTop w:val="0"/>
          <w:marBottom w:val="0"/>
          <w:divBdr>
            <w:top w:val="none" w:sz="0" w:space="0" w:color="auto"/>
            <w:left w:val="none" w:sz="0" w:space="0" w:color="auto"/>
            <w:bottom w:val="none" w:sz="0" w:space="0" w:color="auto"/>
            <w:right w:val="none" w:sz="0" w:space="0" w:color="auto"/>
          </w:divBdr>
          <w:divsChild>
            <w:div w:id="1177034589">
              <w:marLeft w:val="0"/>
              <w:marRight w:val="0"/>
              <w:marTop w:val="0"/>
              <w:marBottom w:val="0"/>
              <w:divBdr>
                <w:top w:val="none" w:sz="0" w:space="0" w:color="auto"/>
                <w:left w:val="none" w:sz="0" w:space="0" w:color="auto"/>
                <w:bottom w:val="none" w:sz="0" w:space="0" w:color="auto"/>
                <w:right w:val="none" w:sz="0" w:space="0" w:color="auto"/>
              </w:divBdr>
              <w:divsChild>
                <w:div w:id="16075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945887">
      <w:bodyDiv w:val="1"/>
      <w:marLeft w:val="0"/>
      <w:marRight w:val="0"/>
      <w:marTop w:val="0"/>
      <w:marBottom w:val="0"/>
      <w:divBdr>
        <w:top w:val="none" w:sz="0" w:space="0" w:color="auto"/>
        <w:left w:val="none" w:sz="0" w:space="0" w:color="auto"/>
        <w:bottom w:val="none" w:sz="0" w:space="0" w:color="auto"/>
        <w:right w:val="none" w:sz="0" w:space="0" w:color="auto"/>
      </w:divBdr>
      <w:divsChild>
        <w:div w:id="98261079">
          <w:marLeft w:val="0"/>
          <w:marRight w:val="0"/>
          <w:marTop w:val="0"/>
          <w:marBottom w:val="0"/>
          <w:divBdr>
            <w:top w:val="none" w:sz="0" w:space="0" w:color="auto"/>
            <w:left w:val="none" w:sz="0" w:space="0" w:color="auto"/>
            <w:bottom w:val="none" w:sz="0" w:space="0" w:color="auto"/>
            <w:right w:val="none" w:sz="0" w:space="0" w:color="auto"/>
          </w:divBdr>
          <w:divsChild>
            <w:div w:id="463817627">
              <w:marLeft w:val="0"/>
              <w:marRight w:val="0"/>
              <w:marTop w:val="0"/>
              <w:marBottom w:val="0"/>
              <w:divBdr>
                <w:top w:val="none" w:sz="0" w:space="0" w:color="auto"/>
                <w:left w:val="none" w:sz="0" w:space="0" w:color="auto"/>
                <w:bottom w:val="none" w:sz="0" w:space="0" w:color="auto"/>
                <w:right w:val="none" w:sz="0" w:space="0" w:color="auto"/>
              </w:divBdr>
              <w:divsChild>
                <w:div w:id="93540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59374">
      <w:bodyDiv w:val="1"/>
      <w:marLeft w:val="0"/>
      <w:marRight w:val="0"/>
      <w:marTop w:val="0"/>
      <w:marBottom w:val="0"/>
      <w:divBdr>
        <w:top w:val="none" w:sz="0" w:space="0" w:color="auto"/>
        <w:left w:val="none" w:sz="0" w:space="0" w:color="auto"/>
        <w:bottom w:val="none" w:sz="0" w:space="0" w:color="auto"/>
        <w:right w:val="none" w:sz="0" w:space="0" w:color="auto"/>
      </w:divBdr>
      <w:divsChild>
        <w:div w:id="605305798">
          <w:marLeft w:val="0"/>
          <w:marRight w:val="0"/>
          <w:marTop w:val="0"/>
          <w:marBottom w:val="0"/>
          <w:divBdr>
            <w:top w:val="none" w:sz="0" w:space="0" w:color="auto"/>
            <w:left w:val="none" w:sz="0" w:space="0" w:color="auto"/>
            <w:bottom w:val="none" w:sz="0" w:space="0" w:color="auto"/>
            <w:right w:val="none" w:sz="0" w:space="0" w:color="auto"/>
          </w:divBdr>
          <w:divsChild>
            <w:div w:id="2317336">
              <w:marLeft w:val="0"/>
              <w:marRight w:val="0"/>
              <w:marTop w:val="0"/>
              <w:marBottom w:val="0"/>
              <w:divBdr>
                <w:top w:val="none" w:sz="0" w:space="0" w:color="auto"/>
                <w:left w:val="none" w:sz="0" w:space="0" w:color="auto"/>
                <w:bottom w:val="none" w:sz="0" w:space="0" w:color="auto"/>
                <w:right w:val="none" w:sz="0" w:space="0" w:color="auto"/>
              </w:divBdr>
              <w:divsChild>
                <w:div w:id="1088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81334">
      <w:bodyDiv w:val="1"/>
      <w:marLeft w:val="0"/>
      <w:marRight w:val="0"/>
      <w:marTop w:val="0"/>
      <w:marBottom w:val="0"/>
      <w:divBdr>
        <w:top w:val="none" w:sz="0" w:space="0" w:color="auto"/>
        <w:left w:val="none" w:sz="0" w:space="0" w:color="auto"/>
        <w:bottom w:val="none" w:sz="0" w:space="0" w:color="auto"/>
        <w:right w:val="none" w:sz="0" w:space="0" w:color="auto"/>
      </w:divBdr>
      <w:divsChild>
        <w:div w:id="470945137">
          <w:marLeft w:val="0"/>
          <w:marRight w:val="0"/>
          <w:marTop w:val="0"/>
          <w:marBottom w:val="0"/>
          <w:divBdr>
            <w:top w:val="none" w:sz="0" w:space="0" w:color="auto"/>
            <w:left w:val="none" w:sz="0" w:space="0" w:color="auto"/>
            <w:bottom w:val="none" w:sz="0" w:space="0" w:color="auto"/>
            <w:right w:val="none" w:sz="0" w:space="0" w:color="auto"/>
          </w:divBdr>
          <w:divsChild>
            <w:div w:id="660425921">
              <w:marLeft w:val="0"/>
              <w:marRight w:val="0"/>
              <w:marTop w:val="0"/>
              <w:marBottom w:val="0"/>
              <w:divBdr>
                <w:top w:val="none" w:sz="0" w:space="0" w:color="auto"/>
                <w:left w:val="none" w:sz="0" w:space="0" w:color="auto"/>
                <w:bottom w:val="none" w:sz="0" w:space="0" w:color="auto"/>
                <w:right w:val="none" w:sz="0" w:space="0" w:color="auto"/>
              </w:divBdr>
              <w:divsChild>
                <w:div w:id="710687712">
                  <w:marLeft w:val="0"/>
                  <w:marRight w:val="0"/>
                  <w:marTop w:val="0"/>
                  <w:marBottom w:val="0"/>
                  <w:divBdr>
                    <w:top w:val="none" w:sz="0" w:space="0" w:color="auto"/>
                    <w:left w:val="none" w:sz="0" w:space="0" w:color="auto"/>
                    <w:bottom w:val="none" w:sz="0" w:space="0" w:color="auto"/>
                    <w:right w:val="none" w:sz="0" w:space="0" w:color="auto"/>
                  </w:divBdr>
                  <w:divsChild>
                    <w:div w:id="34158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225878">
      <w:bodyDiv w:val="1"/>
      <w:marLeft w:val="0"/>
      <w:marRight w:val="0"/>
      <w:marTop w:val="0"/>
      <w:marBottom w:val="0"/>
      <w:divBdr>
        <w:top w:val="none" w:sz="0" w:space="0" w:color="auto"/>
        <w:left w:val="none" w:sz="0" w:space="0" w:color="auto"/>
        <w:bottom w:val="none" w:sz="0" w:space="0" w:color="auto"/>
        <w:right w:val="none" w:sz="0" w:space="0" w:color="auto"/>
      </w:divBdr>
      <w:divsChild>
        <w:div w:id="1929532641">
          <w:marLeft w:val="0"/>
          <w:marRight w:val="0"/>
          <w:marTop w:val="0"/>
          <w:marBottom w:val="0"/>
          <w:divBdr>
            <w:top w:val="none" w:sz="0" w:space="0" w:color="auto"/>
            <w:left w:val="none" w:sz="0" w:space="0" w:color="auto"/>
            <w:bottom w:val="none" w:sz="0" w:space="0" w:color="auto"/>
            <w:right w:val="none" w:sz="0" w:space="0" w:color="auto"/>
          </w:divBdr>
          <w:divsChild>
            <w:div w:id="1037195750">
              <w:marLeft w:val="0"/>
              <w:marRight w:val="0"/>
              <w:marTop w:val="0"/>
              <w:marBottom w:val="0"/>
              <w:divBdr>
                <w:top w:val="none" w:sz="0" w:space="0" w:color="auto"/>
                <w:left w:val="none" w:sz="0" w:space="0" w:color="auto"/>
                <w:bottom w:val="none" w:sz="0" w:space="0" w:color="auto"/>
                <w:right w:val="none" w:sz="0" w:space="0" w:color="auto"/>
              </w:divBdr>
              <w:divsChild>
                <w:div w:id="10966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77607">
      <w:bodyDiv w:val="1"/>
      <w:marLeft w:val="0"/>
      <w:marRight w:val="0"/>
      <w:marTop w:val="0"/>
      <w:marBottom w:val="0"/>
      <w:divBdr>
        <w:top w:val="none" w:sz="0" w:space="0" w:color="auto"/>
        <w:left w:val="none" w:sz="0" w:space="0" w:color="auto"/>
        <w:bottom w:val="none" w:sz="0" w:space="0" w:color="auto"/>
        <w:right w:val="none" w:sz="0" w:space="0" w:color="auto"/>
      </w:divBdr>
      <w:divsChild>
        <w:div w:id="1304311373">
          <w:marLeft w:val="0"/>
          <w:marRight w:val="0"/>
          <w:marTop w:val="0"/>
          <w:marBottom w:val="0"/>
          <w:divBdr>
            <w:top w:val="none" w:sz="0" w:space="0" w:color="auto"/>
            <w:left w:val="none" w:sz="0" w:space="0" w:color="auto"/>
            <w:bottom w:val="none" w:sz="0" w:space="0" w:color="auto"/>
            <w:right w:val="none" w:sz="0" w:space="0" w:color="auto"/>
          </w:divBdr>
          <w:divsChild>
            <w:div w:id="372854304">
              <w:marLeft w:val="0"/>
              <w:marRight w:val="0"/>
              <w:marTop w:val="0"/>
              <w:marBottom w:val="0"/>
              <w:divBdr>
                <w:top w:val="none" w:sz="0" w:space="0" w:color="auto"/>
                <w:left w:val="none" w:sz="0" w:space="0" w:color="auto"/>
                <w:bottom w:val="none" w:sz="0" w:space="0" w:color="auto"/>
                <w:right w:val="none" w:sz="0" w:space="0" w:color="auto"/>
              </w:divBdr>
              <w:divsChild>
                <w:div w:id="1461538268">
                  <w:marLeft w:val="0"/>
                  <w:marRight w:val="0"/>
                  <w:marTop w:val="0"/>
                  <w:marBottom w:val="0"/>
                  <w:divBdr>
                    <w:top w:val="none" w:sz="0" w:space="0" w:color="auto"/>
                    <w:left w:val="none" w:sz="0" w:space="0" w:color="auto"/>
                    <w:bottom w:val="none" w:sz="0" w:space="0" w:color="auto"/>
                    <w:right w:val="none" w:sz="0" w:space="0" w:color="auto"/>
                  </w:divBdr>
                  <w:divsChild>
                    <w:div w:id="18596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8062">
      <w:bodyDiv w:val="1"/>
      <w:marLeft w:val="0"/>
      <w:marRight w:val="0"/>
      <w:marTop w:val="0"/>
      <w:marBottom w:val="0"/>
      <w:divBdr>
        <w:top w:val="none" w:sz="0" w:space="0" w:color="auto"/>
        <w:left w:val="none" w:sz="0" w:space="0" w:color="auto"/>
        <w:bottom w:val="none" w:sz="0" w:space="0" w:color="auto"/>
        <w:right w:val="none" w:sz="0" w:space="0" w:color="auto"/>
      </w:divBdr>
      <w:divsChild>
        <w:div w:id="1800486922">
          <w:marLeft w:val="0"/>
          <w:marRight w:val="0"/>
          <w:marTop w:val="0"/>
          <w:marBottom w:val="0"/>
          <w:divBdr>
            <w:top w:val="none" w:sz="0" w:space="0" w:color="auto"/>
            <w:left w:val="none" w:sz="0" w:space="0" w:color="auto"/>
            <w:bottom w:val="none" w:sz="0" w:space="0" w:color="auto"/>
            <w:right w:val="none" w:sz="0" w:space="0" w:color="auto"/>
          </w:divBdr>
          <w:divsChild>
            <w:div w:id="1799060872">
              <w:marLeft w:val="0"/>
              <w:marRight w:val="0"/>
              <w:marTop w:val="0"/>
              <w:marBottom w:val="0"/>
              <w:divBdr>
                <w:top w:val="none" w:sz="0" w:space="0" w:color="auto"/>
                <w:left w:val="none" w:sz="0" w:space="0" w:color="auto"/>
                <w:bottom w:val="none" w:sz="0" w:space="0" w:color="auto"/>
                <w:right w:val="none" w:sz="0" w:space="0" w:color="auto"/>
              </w:divBdr>
              <w:divsChild>
                <w:div w:id="7275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21206">
      <w:bodyDiv w:val="1"/>
      <w:marLeft w:val="0"/>
      <w:marRight w:val="0"/>
      <w:marTop w:val="0"/>
      <w:marBottom w:val="0"/>
      <w:divBdr>
        <w:top w:val="none" w:sz="0" w:space="0" w:color="auto"/>
        <w:left w:val="none" w:sz="0" w:space="0" w:color="auto"/>
        <w:bottom w:val="none" w:sz="0" w:space="0" w:color="auto"/>
        <w:right w:val="none" w:sz="0" w:space="0" w:color="auto"/>
      </w:divBdr>
      <w:divsChild>
        <w:div w:id="864564684">
          <w:marLeft w:val="0"/>
          <w:marRight w:val="0"/>
          <w:marTop w:val="0"/>
          <w:marBottom w:val="0"/>
          <w:divBdr>
            <w:top w:val="none" w:sz="0" w:space="0" w:color="auto"/>
            <w:left w:val="none" w:sz="0" w:space="0" w:color="auto"/>
            <w:bottom w:val="none" w:sz="0" w:space="0" w:color="auto"/>
            <w:right w:val="none" w:sz="0" w:space="0" w:color="auto"/>
          </w:divBdr>
          <w:divsChild>
            <w:div w:id="1942562690">
              <w:marLeft w:val="0"/>
              <w:marRight w:val="0"/>
              <w:marTop w:val="0"/>
              <w:marBottom w:val="0"/>
              <w:divBdr>
                <w:top w:val="none" w:sz="0" w:space="0" w:color="auto"/>
                <w:left w:val="none" w:sz="0" w:space="0" w:color="auto"/>
                <w:bottom w:val="none" w:sz="0" w:space="0" w:color="auto"/>
                <w:right w:val="none" w:sz="0" w:space="0" w:color="auto"/>
              </w:divBdr>
              <w:divsChild>
                <w:div w:id="214434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76190">
      <w:bodyDiv w:val="1"/>
      <w:marLeft w:val="0"/>
      <w:marRight w:val="0"/>
      <w:marTop w:val="0"/>
      <w:marBottom w:val="0"/>
      <w:divBdr>
        <w:top w:val="none" w:sz="0" w:space="0" w:color="auto"/>
        <w:left w:val="none" w:sz="0" w:space="0" w:color="auto"/>
        <w:bottom w:val="none" w:sz="0" w:space="0" w:color="auto"/>
        <w:right w:val="none" w:sz="0" w:space="0" w:color="auto"/>
      </w:divBdr>
      <w:divsChild>
        <w:div w:id="567762944">
          <w:marLeft w:val="0"/>
          <w:marRight w:val="0"/>
          <w:marTop w:val="0"/>
          <w:marBottom w:val="0"/>
          <w:divBdr>
            <w:top w:val="none" w:sz="0" w:space="0" w:color="auto"/>
            <w:left w:val="none" w:sz="0" w:space="0" w:color="auto"/>
            <w:bottom w:val="none" w:sz="0" w:space="0" w:color="auto"/>
            <w:right w:val="none" w:sz="0" w:space="0" w:color="auto"/>
          </w:divBdr>
          <w:divsChild>
            <w:div w:id="1467553000">
              <w:marLeft w:val="0"/>
              <w:marRight w:val="0"/>
              <w:marTop w:val="0"/>
              <w:marBottom w:val="0"/>
              <w:divBdr>
                <w:top w:val="none" w:sz="0" w:space="0" w:color="auto"/>
                <w:left w:val="none" w:sz="0" w:space="0" w:color="auto"/>
                <w:bottom w:val="none" w:sz="0" w:space="0" w:color="auto"/>
                <w:right w:val="none" w:sz="0" w:space="0" w:color="auto"/>
              </w:divBdr>
              <w:divsChild>
                <w:div w:id="1258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9934">
      <w:bodyDiv w:val="1"/>
      <w:marLeft w:val="0"/>
      <w:marRight w:val="0"/>
      <w:marTop w:val="0"/>
      <w:marBottom w:val="0"/>
      <w:divBdr>
        <w:top w:val="none" w:sz="0" w:space="0" w:color="auto"/>
        <w:left w:val="none" w:sz="0" w:space="0" w:color="auto"/>
        <w:bottom w:val="none" w:sz="0" w:space="0" w:color="auto"/>
        <w:right w:val="none" w:sz="0" w:space="0" w:color="auto"/>
      </w:divBdr>
      <w:divsChild>
        <w:div w:id="1675063804">
          <w:marLeft w:val="0"/>
          <w:marRight w:val="0"/>
          <w:marTop w:val="0"/>
          <w:marBottom w:val="0"/>
          <w:divBdr>
            <w:top w:val="none" w:sz="0" w:space="0" w:color="auto"/>
            <w:left w:val="none" w:sz="0" w:space="0" w:color="auto"/>
            <w:bottom w:val="none" w:sz="0" w:space="0" w:color="auto"/>
            <w:right w:val="none" w:sz="0" w:space="0" w:color="auto"/>
          </w:divBdr>
          <w:divsChild>
            <w:div w:id="370113440">
              <w:marLeft w:val="0"/>
              <w:marRight w:val="0"/>
              <w:marTop w:val="0"/>
              <w:marBottom w:val="0"/>
              <w:divBdr>
                <w:top w:val="none" w:sz="0" w:space="0" w:color="auto"/>
                <w:left w:val="none" w:sz="0" w:space="0" w:color="auto"/>
                <w:bottom w:val="none" w:sz="0" w:space="0" w:color="auto"/>
                <w:right w:val="none" w:sz="0" w:space="0" w:color="auto"/>
              </w:divBdr>
              <w:divsChild>
                <w:div w:id="12996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thalimbar@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s114118521@student.ubaya.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infor.seaninstitute.org/index.php/pendidikan"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sers\adithalimbar\Downloads\data%20pasien%20tesis%20adit%20edit%20copy.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a:t>Perhitungan ACER antara Total Biaya dengan Lama Rawat Inap dengan lama Hilang</a:t>
            </a:r>
            <a:r>
              <a:rPr lang="en-ID" baseline="0"/>
              <a:t> COVID-19</a:t>
            </a:r>
            <a:endParaRPr lang="en-US"/>
          </a:p>
        </c:rich>
      </c:tx>
      <c:layout>
        <c:manualLayout>
          <c:xMode val="edge"/>
          <c:yMode val="edge"/>
          <c:x val="0.15349892825620978"/>
          <c:y val="2.1778584392014518E-2"/>
        </c:manualLayout>
      </c:layout>
      <c:overlay val="0"/>
      <c:spPr>
        <a:noFill/>
        <a:ln>
          <a:noFill/>
        </a:ln>
        <a:effectLst/>
      </c:spPr>
      <c:txPr>
        <a:bodyPr rot="0" spcFirstLastPara="1" vertOverflow="ellipsis" vert="horz" wrap="square" anchor="ctr" anchorCtr="1"/>
        <a:lstStyle/>
        <a:p>
          <a:pPr>
            <a:defRPr sz="96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8.5986118460699923E-2"/>
          <c:y val="0.13908512797061889"/>
          <c:w val="0.87600776766335919"/>
          <c:h val="0.75136758915311064"/>
        </c:manualLayout>
      </c:layout>
      <c:scatterChart>
        <c:scatterStyle val="lineMarker"/>
        <c:varyColors val="0"/>
        <c:ser>
          <c:idx val="4"/>
          <c:order val="0"/>
          <c:spPr>
            <a:ln w="25400" cap="rnd" cmpd="sng" algn="ctr">
              <a:noFill/>
              <a:prstDash val="solid"/>
              <a:round/>
            </a:ln>
            <a:effectLst/>
          </c:spPr>
          <c:marker>
            <c:spPr>
              <a:noFill/>
              <a:ln w="6350" cap="flat" cmpd="sng" algn="ctr">
                <a:solidFill>
                  <a:schemeClr val="accent5"/>
                </a:solidFill>
                <a:prstDash val="solid"/>
                <a:round/>
              </a:ln>
              <a:effectLst/>
            </c:spPr>
          </c:marker>
          <c:dLbls>
            <c:delete val="1"/>
          </c:dLbls>
          <c:xVal>
            <c:numRef>
              <c:f>'Perhitungan ACER dan ICER'!$D$7</c:f>
              <c:numCache>
                <c:formatCode>#,##0.00</c:formatCode>
                <c:ptCount val="1"/>
                <c:pt idx="0">
                  <c:v>13.13</c:v>
                </c:pt>
              </c:numCache>
            </c:numRef>
          </c:xVal>
          <c:yVal>
            <c:numRef>
              <c:f>'Perhitungan ACER dan ICER'!$C$7</c:f>
              <c:numCache>
                <c:formatCode>[$Rp-421]#,##0.00</c:formatCode>
                <c:ptCount val="1"/>
                <c:pt idx="0">
                  <c:v>43480136.079999998</c:v>
                </c:pt>
              </c:numCache>
            </c:numRef>
          </c:yVal>
          <c:smooth val="0"/>
          <c:extLst>
            <c:ext xmlns:c16="http://schemas.microsoft.com/office/drawing/2014/chart" uri="{C3380CC4-5D6E-409C-BE32-E72D297353CC}">
              <c16:uniqueId val="{00000000-600A-1445-A6FB-ECB4BD2ABCC3}"/>
            </c:ext>
          </c:extLst>
        </c:ser>
        <c:ser>
          <c:idx val="5"/>
          <c:order val="1"/>
          <c:spPr>
            <a:ln w="25400" cap="rnd" cmpd="sng" algn="ctr">
              <a:noFill/>
              <a:prstDash val="solid"/>
              <a:round/>
            </a:ln>
            <a:effectLst/>
          </c:spPr>
          <c:marker>
            <c:spPr>
              <a:solidFill>
                <a:schemeClr val="accent6"/>
              </a:solidFill>
              <a:ln w="6350" cap="flat" cmpd="sng" algn="ctr">
                <a:solidFill>
                  <a:schemeClr val="accent6"/>
                </a:solidFill>
                <a:prstDash val="solid"/>
                <a:round/>
              </a:ln>
              <a:effectLst/>
            </c:spPr>
          </c:marker>
          <c:dLbls>
            <c:delete val="1"/>
          </c:dLbls>
          <c:xVal>
            <c:numRef>
              <c:f>'Perhitungan ACER dan ICER'!$D$8</c:f>
              <c:numCache>
                <c:formatCode>General</c:formatCode>
                <c:ptCount val="1"/>
                <c:pt idx="0">
                  <c:v>11.22</c:v>
                </c:pt>
              </c:numCache>
            </c:numRef>
          </c:xVal>
          <c:yVal>
            <c:numRef>
              <c:f>'Perhitungan ACER dan ICER'!$C$8</c:f>
              <c:numCache>
                <c:formatCode>[$Rp-421]#,##0.00</c:formatCode>
                <c:ptCount val="1"/>
                <c:pt idx="0">
                  <c:v>31647150.329999998</c:v>
                </c:pt>
              </c:numCache>
            </c:numRef>
          </c:yVal>
          <c:smooth val="0"/>
          <c:extLst>
            <c:ext xmlns:c16="http://schemas.microsoft.com/office/drawing/2014/chart" uri="{C3380CC4-5D6E-409C-BE32-E72D297353CC}">
              <c16:uniqueId val="{00000001-600A-1445-A6FB-ECB4BD2ABCC3}"/>
            </c:ext>
          </c:extLst>
        </c:ser>
        <c:ser>
          <c:idx val="6"/>
          <c:order val="2"/>
          <c:spPr>
            <a:ln w="25400" cap="rnd" cmpd="sng" algn="ctr">
              <a:noFill/>
              <a:prstDash val="solid"/>
              <a:round/>
            </a:ln>
            <a:effectLst/>
          </c:spPr>
          <c:marker>
            <c:spPr>
              <a:noFill/>
              <a:ln w="6350" cap="flat" cmpd="sng" algn="ctr">
                <a:solidFill>
                  <a:schemeClr val="accent1">
                    <a:lumMod val="60000"/>
                  </a:schemeClr>
                </a:solidFill>
                <a:prstDash val="solid"/>
                <a:round/>
              </a:ln>
              <a:effectLst/>
            </c:spPr>
          </c:marker>
          <c:dLbls>
            <c:dLbl>
              <c:idx val="0"/>
              <c:layout>
                <c:manualLayout>
                  <c:x val="0.12356575463371569"/>
                  <c:y val="1.0889292196007261E-2"/>
                </c:manualLayout>
              </c:layout>
              <c:tx>
                <c:rich>
                  <a:bodyPr/>
                  <a:lstStyle/>
                  <a:p>
                    <a:fld id="{59086C26-D3B4-8944-886C-148AA7965F22}" type="XVALUE">
                      <a:rPr lang="en-US"/>
                      <a:pPr/>
                      <a:t>[NILAI X]</a:t>
                    </a:fld>
                    <a:r>
                      <a:rPr lang="en-US"/>
                      <a:t> Hari</a:t>
                    </a:r>
                    <a:r>
                      <a:rPr lang="en-US" baseline="0"/>
                      <a:t>; </a:t>
                    </a:r>
                    <a:fld id="{172C4E7A-8ED3-7742-ACB1-2D9D4308320A}" type="YVALUE">
                      <a:rPr lang="en-US" baseline="0"/>
                      <a:pPr/>
                      <a:t>[NILAI Y]</a:t>
                    </a:fld>
                    <a:endParaRPr lang="en-US" baseline="0"/>
                  </a:p>
                </c:rich>
              </c:tx>
              <c:dLblPos val="r"/>
              <c:showLegendKey val="0"/>
              <c:showVal val="1"/>
              <c:showCatName val="1"/>
              <c:showSerName val="0"/>
              <c:showPercent val="0"/>
              <c:showBubbleSize val="0"/>
              <c:extLst>
                <c:ext xmlns:c15="http://schemas.microsoft.com/office/drawing/2012/chart" uri="{CE6537A1-D6FC-4f65-9D91-7224C49458BB}">
                  <c15:layout>
                    <c:manualLayout>
                      <c:w val="0.23032394560565189"/>
                      <c:h val="9.6950998185117973E-2"/>
                    </c:manualLayout>
                  </c15:layout>
                  <c15:dlblFieldTable/>
                  <c15:showDataLabelsRange val="0"/>
                </c:ext>
                <c:ext xmlns:c16="http://schemas.microsoft.com/office/drawing/2014/chart" uri="{C3380CC4-5D6E-409C-BE32-E72D297353CC}">
                  <c16:uniqueId val="{00000002-600A-1445-A6FB-ECB4BD2ABCC3}"/>
                </c:ext>
              </c:extLst>
            </c:dLbl>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Ref>
              <c:f>'Perhitungan ACER dan ICER'!$D$7</c:f>
              <c:numCache>
                <c:formatCode>#,##0.00</c:formatCode>
                <c:ptCount val="1"/>
                <c:pt idx="0">
                  <c:v>13.13</c:v>
                </c:pt>
              </c:numCache>
            </c:numRef>
          </c:xVal>
          <c:yVal>
            <c:numRef>
              <c:f>'Perhitungan ACER dan ICER'!$C$7</c:f>
              <c:numCache>
                <c:formatCode>[$Rp-421]#,##0.00</c:formatCode>
                <c:ptCount val="1"/>
                <c:pt idx="0">
                  <c:v>43480136.079999998</c:v>
                </c:pt>
              </c:numCache>
            </c:numRef>
          </c:yVal>
          <c:smooth val="0"/>
          <c:extLst>
            <c:ext xmlns:c16="http://schemas.microsoft.com/office/drawing/2014/chart" uri="{C3380CC4-5D6E-409C-BE32-E72D297353CC}">
              <c16:uniqueId val="{00000003-600A-1445-A6FB-ECB4BD2ABCC3}"/>
            </c:ext>
          </c:extLst>
        </c:ser>
        <c:ser>
          <c:idx val="7"/>
          <c:order val="3"/>
          <c:spPr>
            <a:ln w="25400" cap="rnd" cmpd="sng" algn="ctr">
              <a:noFill/>
              <a:prstDash val="solid"/>
              <a:round/>
            </a:ln>
            <a:effectLst/>
          </c:spPr>
          <c:marker>
            <c:spPr>
              <a:solidFill>
                <a:schemeClr val="accent2">
                  <a:lumMod val="60000"/>
                </a:schemeClr>
              </a:solidFill>
              <a:ln w="6350" cap="flat" cmpd="sng" algn="ctr">
                <a:solidFill>
                  <a:schemeClr val="accent2">
                    <a:lumMod val="60000"/>
                  </a:schemeClr>
                </a:solidFill>
                <a:prstDash val="solid"/>
                <a:round/>
              </a:ln>
              <a:effectLst/>
            </c:spPr>
          </c:marker>
          <c:dLbls>
            <c:dLbl>
              <c:idx val="0"/>
              <c:layout>
                <c:manualLayout>
                  <c:x val="-0.31521876182070363"/>
                  <c:y val="-0.25045372050816694"/>
                </c:manualLayout>
              </c:layout>
              <c:tx>
                <c:rich>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78749E0D-B668-ED4B-9CF5-6316B971EA08}" type="XVALUE">
                      <a:rPr lang="en-US"/>
                      <a:pPr>
                        <a:defRPr b="1"/>
                      </a:pPr>
                      <a:t>[NILAI X]</a:t>
                    </a:fld>
                    <a:r>
                      <a:rPr lang="en-US"/>
                      <a:t> Hari</a:t>
                    </a:r>
                    <a:r>
                      <a:rPr lang="en-US" baseline="0"/>
                      <a:t>; </a:t>
                    </a:r>
                    <a:fld id="{7FB88EF7-865F-3441-9D37-ED762138238B}" type="YVALUE">
                      <a:rPr lang="en-US" baseline="0"/>
                      <a:pPr>
                        <a:defRPr b="1"/>
                      </a:pPr>
                      <a:t>[NILAI Y]</a:t>
                    </a:fld>
                    <a:endParaRPr lang="en-US" baseline="0"/>
                  </a:p>
                </c:rich>
              </c:tx>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00A-1445-A6FB-ECB4BD2ABCC3}"/>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Ref>
              <c:f>'Perhitungan ACER dan ICER'!$D$8</c:f>
              <c:numCache>
                <c:formatCode>General</c:formatCode>
                <c:ptCount val="1"/>
                <c:pt idx="0">
                  <c:v>11.22</c:v>
                </c:pt>
              </c:numCache>
            </c:numRef>
          </c:xVal>
          <c:yVal>
            <c:numRef>
              <c:f>'Perhitungan ACER dan ICER'!$C$8</c:f>
              <c:numCache>
                <c:formatCode>[$Rp-421]#,##0.00</c:formatCode>
                <c:ptCount val="1"/>
                <c:pt idx="0">
                  <c:v>31647150.329999998</c:v>
                </c:pt>
              </c:numCache>
            </c:numRef>
          </c:yVal>
          <c:smooth val="0"/>
          <c:extLst>
            <c:ext xmlns:c16="http://schemas.microsoft.com/office/drawing/2014/chart" uri="{C3380CC4-5D6E-409C-BE32-E72D297353CC}">
              <c16:uniqueId val="{00000005-600A-1445-A6FB-ECB4BD2ABCC3}"/>
            </c:ext>
          </c:extLst>
        </c:ser>
        <c:ser>
          <c:idx val="2"/>
          <c:order val="4"/>
          <c:spPr>
            <a:ln w="25400" cap="rnd" cmpd="sng" algn="ctr">
              <a:noFill/>
              <a:prstDash val="solid"/>
              <a:round/>
            </a:ln>
            <a:effectLst/>
          </c:spPr>
          <c:marker>
            <c:spPr>
              <a:solidFill>
                <a:schemeClr val="accent3"/>
              </a:solidFill>
              <a:ln w="6350" cap="flat" cmpd="sng" algn="ctr">
                <a:solidFill>
                  <a:schemeClr val="accent3"/>
                </a:solidFill>
                <a:prstDash val="solid"/>
                <a:round/>
              </a:ln>
              <a:effectLst/>
            </c:spPr>
          </c:marker>
          <c:dLbls>
            <c:delete val="1"/>
          </c:dLbls>
          <c:xVal>
            <c:numRef>
              <c:f>'Perhitungan ACER dan ICER'!$D$7</c:f>
              <c:numCache>
                <c:formatCode>#,##0.00</c:formatCode>
                <c:ptCount val="1"/>
                <c:pt idx="0">
                  <c:v>13.13</c:v>
                </c:pt>
              </c:numCache>
            </c:numRef>
          </c:xVal>
          <c:yVal>
            <c:numRef>
              <c:f>'Perhitungan ACER dan ICER'!$C$7</c:f>
              <c:numCache>
                <c:formatCode>[$Rp-421]#,##0.00</c:formatCode>
                <c:ptCount val="1"/>
                <c:pt idx="0">
                  <c:v>43480136.079999998</c:v>
                </c:pt>
              </c:numCache>
            </c:numRef>
          </c:yVal>
          <c:smooth val="0"/>
          <c:extLst>
            <c:ext xmlns:c16="http://schemas.microsoft.com/office/drawing/2014/chart" uri="{C3380CC4-5D6E-409C-BE32-E72D297353CC}">
              <c16:uniqueId val="{00000006-600A-1445-A6FB-ECB4BD2ABCC3}"/>
            </c:ext>
          </c:extLst>
        </c:ser>
        <c:ser>
          <c:idx val="3"/>
          <c:order val="5"/>
          <c:spPr>
            <a:ln w="25400" cap="rnd" cmpd="sng" algn="ctr">
              <a:noFill/>
              <a:prstDash val="solid"/>
              <a:round/>
            </a:ln>
            <a:effectLst/>
          </c:spPr>
          <c:marker>
            <c:spPr>
              <a:noFill/>
              <a:ln w="6350" cap="flat" cmpd="sng" algn="ctr">
                <a:solidFill>
                  <a:schemeClr val="accent4"/>
                </a:solidFill>
                <a:prstDash val="solid"/>
                <a:round/>
              </a:ln>
              <a:effectLst/>
            </c:spPr>
          </c:marker>
          <c:dLbls>
            <c:delete val="1"/>
          </c:dLbls>
          <c:xVal>
            <c:numRef>
              <c:f>'Perhitungan ACER dan ICER'!$D$8</c:f>
              <c:numCache>
                <c:formatCode>General</c:formatCode>
                <c:ptCount val="1"/>
                <c:pt idx="0">
                  <c:v>11.22</c:v>
                </c:pt>
              </c:numCache>
            </c:numRef>
          </c:xVal>
          <c:yVal>
            <c:numRef>
              <c:f>'Perhitungan ACER dan ICER'!$C$8</c:f>
              <c:numCache>
                <c:formatCode>[$Rp-421]#,##0.00</c:formatCode>
                <c:ptCount val="1"/>
                <c:pt idx="0">
                  <c:v>31647150.329999998</c:v>
                </c:pt>
              </c:numCache>
            </c:numRef>
          </c:yVal>
          <c:smooth val="0"/>
          <c:extLst>
            <c:ext xmlns:c16="http://schemas.microsoft.com/office/drawing/2014/chart" uri="{C3380CC4-5D6E-409C-BE32-E72D297353CC}">
              <c16:uniqueId val="{00000007-600A-1445-A6FB-ECB4BD2ABCC3}"/>
            </c:ext>
          </c:extLst>
        </c:ser>
        <c:ser>
          <c:idx val="0"/>
          <c:order val="6"/>
          <c:spPr>
            <a:ln w="25400" cap="rnd" cmpd="sng" algn="ctr">
              <a:noFill/>
              <a:prstDash val="solid"/>
              <a:round/>
            </a:ln>
            <a:effectLst/>
          </c:spPr>
          <c:marker>
            <c:symbol val="circle"/>
            <c:size val="5"/>
            <c:spPr>
              <a:solidFill>
                <a:schemeClr val="accent1"/>
              </a:solidFill>
              <a:ln w="6350" cap="flat" cmpd="sng" algn="ctr">
                <a:solidFill>
                  <a:schemeClr val="accent1"/>
                </a:solidFill>
                <a:prstDash val="solid"/>
                <a:round/>
              </a:ln>
              <a:effectLst/>
            </c:spPr>
          </c:marker>
          <c:dLbls>
            <c:dLbl>
              <c:idx val="0"/>
              <c:layout>
                <c:manualLayout>
                  <c:x val="0.12661519235620691"/>
                  <c:y val="-7.3661041629421192E-2"/>
                </c:manualLayout>
              </c:layout>
              <c:tx>
                <c:rich>
                  <a:bodyPr/>
                  <a:lstStyle/>
                  <a:p>
                    <a:r>
                      <a:rPr lang="en-US" sz="800" b="0" i="0" u="none" strike="noStrike" kern="1200" baseline="0">
                        <a:solidFill>
                          <a:sysClr val="windowText" lastClr="000000"/>
                        </a:solidFill>
                        <a:latin typeface="+mn-lt"/>
                        <a:ea typeface="+mn-ea"/>
                        <a:cs typeface="+mn-cs"/>
                      </a:rPr>
                      <a:t>REMDESIVIR</a:t>
                    </a:r>
                    <a:endParaRPr lang="en-US" baseline="0"/>
                  </a:p>
                </c:rich>
              </c:tx>
              <c:dLblPos val="r"/>
              <c:showLegendKey val="0"/>
              <c:showVal val="1"/>
              <c:showCatName val="1"/>
              <c:showSerName val="0"/>
              <c:showPercent val="0"/>
              <c:showBubbleSize val="0"/>
              <c:extLst>
                <c:ext xmlns:c15="http://schemas.microsoft.com/office/drawing/2012/chart" uri="{CE6537A1-D6FC-4f65-9D91-7224C49458BB}">
                  <c15:layout>
                    <c:manualLayout>
                      <c:w val="0.13262244988313443"/>
                      <c:h val="7.4136229022704822E-2"/>
                    </c:manualLayout>
                  </c15:layout>
                  <c15:showDataLabelsRange val="0"/>
                </c:ext>
                <c:ext xmlns:c16="http://schemas.microsoft.com/office/drawing/2014/chart" uri="{C3380CC4-5D6E-409C-BE32-E72D297353CC}">
                  <c16:uniqueId val="{00000008-600A-1445-A6FB-ECB4BD2ABCC3}"/>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Ref>
              <c:f>'Perhitungan ACER dan ICER'!$D$7</c:f>
              <c:numCache>
                <c:formatCode>#,##0.00</c:formatCode>
                <c:ptCount val="1"/>
                <c:pt idx="0">
                  <c:v>13.13</c:v>
                </c:pt>
              </c:numCache>
            </c:numRef>
          </c:xVal>
          <c:yVal>
            <c:numRef>
              <c:f>'Perhitungan ACER dan ICER'!$C$7</c:f>
              <c:numCache>
                <c:formatCode>[$Rp-421]#,##0.00</c:formatCode>
                <c:ptCount val="1"/>
                <c:pt idx="0">
                  <c:v>43480136.079999998</c:v>
                </c:pt>
              </c:numCache>
            </c:numRef>
          </c:yVal>
          <c:smooth val="0"/>
          <c:extLst>
            <c:ext xmlns:c16="http://schemas.microsoft.com/office/drawing/2014/chart" uri="{C3380CC4-5D6E-409C-BE32-E72D297353CC}">
              <c16:uniqueId val="{00000009-600A-1445-A6FB-ECB4BD2ABCC3}"/>
            </c:ext>
          </c:extLst>
        </c:ser>
        <c:ser>
          <c:idx val="1"/>
          <c:order val="7"/>
          <c:spPr>
            <a:ln w="25400" cap="rnd" cmpd="sng" algn="ctr">
              <a:noFill/>
              <a:prstDash val="solid"/>
              <a:round/>
            </a:ln>
            <a:effectLst/>
          </c:spPr>
          <c:marker>
            <c:symbol val="circle"/>
            <c:size val="5"/>
            <c:spPr>
              <a:solidFill>
                <a:schemeClr val="accent2"/>
              </a:solidFill>
              <a:ln w="6350" cap="flat" cmpd="sng" algn="ctr">
                <a:solidFill>
                  <a:schemeClr val="accent2"/>
                </a:solidFill>
                <a:prstDash val="solid"/>
                <a:round/>
              </a:ln>
              <a:effectLst/>
            </c:spPr>
          </c:marker>
          <c:dLbls>
            <c:dLbl>
              <c:idx val="0"/>
              <c:layout>
                <c:manualLayout>
                  <c:x val="-0.30698419962141232"/>
                  <c:y val="-0.18944286322268472"/>
                </c:manualLayout>
              </c:layout>
              <c:tx>
                <c:rich>
                  <a:bodyPr/>
                  <a:lstStyle/>
                  <a:p>
                    <a:r>
                      <a:rPr lang="en-US" sz="800" b="1" i="0" u="none" strike="noStrike" kern="1200" baseline="0">
                        <a:solidFill>
                          <a:sysClr val="windowText" lastClr="000000"/>
                        </a:solidFill>
                        <a:latin typeface="+mn-lt"/>
                        <a:ea typeface="+mn-ea"/>
                        <a:cs typeface="+mn-cs"/>
                      </a:rPr>
                      <a:t>FAVIPIRAVIR</a:t>
                    </a:r>
                    <a:endParaRPr lang="en-US" b="1"/>
                  </a:p>
                </c:rich>
              </c:tx>
              <c:dLblPos val="r"/>
              <c:showLegendKey val="0"/>
              <c:showVal val="1"/>
              <c:showCatName val="1"/>
              <c:showSerName val="0"/>
              <c:showPercent val="0"/>
              <c:showBubbleSize val="0"/>
              <c:extLst>
                <c:ext xmlns:c15="http://schemas.microsoft.com/office/drawing/2012/chart" uri="{CE6537A1-D6FC-4f65-9D91-7224C49458BB}">
                  <c15:layout>
                    <c:manualLayout>
                      <c:w val="0.16825800976023761"/>
                      <c:h val="7.4136229022704822E-2"/>
                    </c:manualLayout>
                  </c15:layout>
                  <c15:showDataLabelsRange val="0"/>
                </c:ext>
                <c:ext xmlns:c16="http://schemas.microsoft.com/office/drawing/2014/chart" uri="{C3380CC4-5D6E-409C-BE32-E72D297353CC}">
                  <c16:uniqueId val="{0000000A-600A-1445-A6FB-ECB4BD2ABCC3}"/>
                </c:ext>
              </c:extLst>
            </c:dLbl>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xVal>
            <c:numRef>
              <c:f>'Perhitungan ACER dan ICER'!$D$8</c:f>
              <c:numCache>
                <c:formatCode>General</c:formatCode>
                <c:ptCount val="1"/>
                <c:pt idx="0">
                  <c:v>11.22</c:v>
                </c:pt>
              </c:numCache>
            </c:numRef>
          </c:xVal>
          <c:yVal>
            <c:numRef>
              <c:f>'Perhitungan ACER dan ICER'!$C$8</c:f>
              <c:numCache>
                <c:formatCode>[$Rp-421]#,##0.00</c:formatCode>
                <c:ptCount val="1"/>
                <c:pt idx="0">
                  <c:v>31647150.329999998</c:v>
                </c:pt>
              </c:numCache>
            </c:numRef>
          </c:yVal>
          <c:smooth val="0"/>
          <c:extLst>
            <c:ext xmlns:c16="http://schemas.microsoft.com/office/drawing/2014/chart" uri="{C3380CC4-5D6E-409C-BE32-E72D297353CC}">
              <c16:uniqueId val="{0000000B-600A-1445-A6FB-ECB4BD2ABCC3}"/>
            </c:ext>
          </c:extLst>
        </c:ser>
        <c:dLbls>
          <c:dLblPos val="r"/>
          <c:showLegendKey val="0"/>
          <c:showVal val="1"/>
          <c:showCatName val="1"/>
          <c:showSerName val="0"/>
          <c:showPercent val="0"/>
          <c:showBubbleSize val="0"/>
        </c:dLbls>
        <c:axId val="1925888928"/>
        <c:axId val="1877147776"/>
      </c:scatterChart>
      <c:valAx>
        <c:axId val="1925888928"/>
        <c:scaling>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TOTAL</a:t>
                </a:r>
                <a:r>
                  <a:rPr lang="en-US" baseline="0"/>
                  <a:t> </a:t>
                </a:r>
                <a:r>
                  <a:rPr lang="en-US"/>
                  <a:t>BIAYA</a:t>
                </a:r>
                <a:r>
                  <a:rPr lang="en-US" baseline="0"/>
                  <a:t> </a:t>
                </a:r>
                <a:endParaRPr lang="en-US"/>
              </a:p>
            </c:rich>
          </c:tx>
          <c:layout>
            <c:manualLayout>
              <c:xMode val="edge"/>
              <c:yMode val="edge"/>
              <c:x val="0.44609302477966956"/>
              <c:y val="0.92312045386341224"/>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77147776"/>
        <c:crossesAt val="25000000"/>
        <c:crossBetween val="midCat"/>
        <c:majorUnit val="12"/>
        <c:minorUnit val="3"/>
      </c:valAx>
      <c:valAx>
        <c:axId val="1877147776"/>
        <c:scaling>
          <c:orientation val="minMax"/>
          <c:min val="4500000"/>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LAMA RAWAT INAP (E)</a:t>
                </a:r>
              </a:p>
              <a:p>
                <a:pPr>
                  <a:defRPr/>
                </a:pPr>
                <a:endParaRPr lang="en-US"/>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Rp-421]#,##0.00" sourceLinked="1"/>
        <c:majorTickMark val="out"/>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25888928"/>
        <c:crossesAt val="12"/>
        <c:crossBetween val="midCat"/>
      </c:valAx>
      <c:spPr>
        <a:solidFill>
          <a:schemeClr val="bg1"/>
        </a:solidFill>
        <a:ln cmpd="sng">
          <a:solidFill>
            <a:schemeClr val="tx1"/>
          </a:solidFill>
        </a:ln>
        <a:effectLst/>
      </c:spPr>
    </c:plotArea>
    <c:plotVisOnly val="1"/>
    <c:dispBlanksAs val="gap"/>
    <c:showDLblsOverMax val="0"/>
    <c:extLst/>
  </c:chart>
  <c:spPr>
    <a:solidFill>
      <a:schemeClr val="bg1"/>
    </a:solidFill>
    <a:ln w="6350" cap="flat" cmpd="sng" algn="ctr">
      <a:solidFill>
        <a:schemeClr val="tx1">
          <a:tint val="75000"/>
        </a:schemeClr>
      </a:solidFill>
      <a:prstDash val="solid"/>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0.15979</cdr:x>
      <cdr:y>0.27743</cdr:y>
    </cdr:from>
    <cdr:to>
      <cdr:x>0.32138</cdr:x>
      <cdr:y>0.40788</cdr:y>
    </cdr:to>
    <cdr:sp macro="" textlink="">
      <cdr:nvSpPr>
        <cdr:cNvPr id="3" name="Rectangle 2"/>
        <cdr:cNvSpPr/>
      </cdr:nvSpPr>
      <cdr:spPr>
        <a:xfrm xmlns:a="http://schemas.openxmlformats.org/drawingml/2006/main">
          <a:off x="946299" y="1194595"/>
          <a:ext cx="956930" cy="56172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ID" sz="1100" b="0" i="1" cap="none" spc="0">
              <a:ln w="0"/>
              <a:solidFill>
                <a:schemeClr val="tx1"/>
              </a:solidFill>
              <a:effectLst>
                <a:outerShdw blurRad="38100" dist="19050" dir="2700000" algn="tl" rotWithShape="0">
                  <a:schemeClr val="dk1">
                    <a:alpha val="40000"/>
                  </a:schemeClr>
                </a:outerShdw>
              </a:effectLst>
              <a:latin typeface="+mn-lt"/>
              <a:ea typeface="+mn-ea"/>
              <a:cs typeface="+mn-cs"/>
            </a:rPr>
            <a:t>dominant</a:t>
          </a:r>
        </a:p>
        <a:p xmlns:a="http://schemas.openxmlformats.org/drawingml/2006/main">
          <a:r>
            <a:rPr lang="en-ID" sz="1100" b="0" i="1" cap="none" spc="0">
              <a:ln w="0"/>
              <a:solidFill>
                <a:schemeClr val="tx1"/>
              </a:solidFill>
              <a:effectLst>
                <a:outerShdw blurRad="38100" dist="19050" dir="2700000" algn="tl" rotWithShape="0">
                  <a:schemeClr val="dk1">
                    <a:alpha val="40000"/>
                  </a:schemeClr>
                </a:outerShdw>
              </a:effectLst>
              <a:latin typeface="+mn-lt"/>
              <a:ea typeface="+mn-ea"/>
              <a:cs typeface="+mn-cs"/>
            </a:rPr>
            <a:t>Kuadran</a:t>
          </a:r>
          <a:r>
            <a:rPr lang="en-ID" sz="1100" b="0" i="1" cap="none" spc="0" baseline="0">
              <a:ln w="0"/>
              <a:solidFill>
                <a:schemeClr val="tx1"/>
              </a:solidFill>
              <a:effectLst>
                <a:outerShdw blurRad="38100" dist="19050" dir="2700000" algn="tl" rotWithShape="0">
                  <a:schemeClr val="dk1">
                    <a:alpha val="40000"/>
                  </a:schemeClr>
                </a:outerShdw>
              </a:effectLst>
              <a:latin typeface="+mn-lt"/>
              <a:ea typeface="+mn-ea"/>
              <a:cs typeface="+mn-cs"/>
            </a:rPr>
            <a:t> II</a:t>
          </a:r>
          <a:r>
            <a:rPr lang="en-ID" b="0" cap="none" spc="0">
              <a:ln w="0"/>
              <a:solidFill>
                <a:schemeClr val="tx1"/>
              </a:solidFill>
              <a:effectLst>
                <a:outerShdw blurRad="38100" dist="19050" dir="2700000" algn="tl" rotWithShape="0">
                  <a:schemeClr val="dk1">
                    <a:alpha val="40000"/>
                  </a:schemeClr>
                </a:outerShdw>
              </a:effectLst>
            </a:rPr>
            <a:t> </a:t>
          </a:r>
          <a:endParaRPr lang="en-US" b="0" cap="none" spc="0">
            <a:ln w="0"/>
            <a:solidFill>
              <a:schemeClr val="tx1"/>
            </a:solidFill>
            <a:effectLst>
              <a:outerShdw blurRad="38100" dist="19050" dir="2700000" algn="tl" rotWithShape="0">
                <a:schemeClr val="dk1">
                  <a:alpha val="40000"/>
                </a:schemeClr>
              </a:outerShdw>
            </a:effectLst>
          </a:endParaRPr>
        </a:p>
      </cdr:txBody>
    </cdr:sp>
  </cdr:relSizeAnchor>
  <cdr:relSizeAnchor xmlns:cdr="http://schemas.openxmlformats.org/drawingml/2006/chartDrawing">
    <cdr:from>
      <cdr:x>0.15939</cdr:x>
      <cdr:y>0.58393</cdr:y>
    </cdr:from>
    <cdr:to>
      <cdr:x>0.32098</cdr:x>
      <cdr:y>0.71439</cdr:y>
    </cdr:to>
    <cdr:sp macro="" textlink="">
      <cdr:nvSpPr>
        <cdr:cNvPr id="4" name="Rectangle 3"/>
        <cdr:cNvSpPr/>
      </cdr:nvSpPr>
      <cdr:spPr>
        <a:xfrm xmlns:a="http://schemas.openxmlformats.org/drawingml/2006/main">
          <a:off x="943937" y="2514381"/>
          <a:ext cx="956930" cy="56172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b="0" i="1" cap="none" spc="0">
              <a:ln w="0"/>
              <a:solidFill>
                <a:schemeClr val="tx1"/>
              </a:solidFill>
              <a:effectLst>
                <a:outerShdw blurRad="38100" dist="19050" dir="2700000" algn="tl" rotWithShape="0">
                  <a:schemeClr val="dk1">
                    <a:alpha val="40000"/>
                  </a:schemeClr>
                </a:outerShdw>
              </a:effectLst>
            </a:rPr>
            <a:t>trade</a:t>
          </a:r>
          <a:r>
            <a:rPr lang="en-US" b="0" i="1" cap="none" spc="0" baseline="0">
              <a:ln w="0"/>
              <a:solidFill>
                <a:schemeClr val="tx1"/>
              </a:solidFill>
              <a:effectLst>
                <a:outerShdw blurRad="38100" dist="19050" dir="2700000" algn="tl" rotWithShape="0">
                  <a:schemeClr val="dk1">
                    <a:alpha val="40000"/>
                  </a:schemeClr>
                </a:outerShdw>
              </a:effectLst>
            </a:rPr>
            <a:t> off</a:t>
          </a:r>
        </a:p>
        <a:p xmlns:a="http://schemas.openxmlformats.org/drawingml/2006/main">
          <a:r>
            <a:rPr lang="en-US" b="0" i="1" cap="none" spc="0" baseline="0">
              <a:ln w="0"/>
              <a:solidFill>
                <a:schemeClr val="tx1"/>
              </a:solidFill>
              <a:effectLst>
                <a:outerShdw blurRad="38100" dist="19050" dir="2700000" algn="tl" rotWithShape="0">
                  <a:schemeClr val="dk1">
                    <a:alpha val="40000"/>
                  </a:schemeClr>
                </a:outerShdw>
              </a:effectLst>
            </a:rPr>
            <a:t>kuadran III</a:t>
          </a:r>
          <a:endParaRPr lang="en-US" b="0" i="1" cap="none" spc="0">
            <a:ln w="0"/>
            <a:solidFill>
              <a:schemeClr val="tx1"/>
            </a:solidFill>
            <a:effectLst>
              <a:outerShdw blurRad="38100" dist="19050" dir="2700000" algn="tl" rotWithShape="0">
                <a:schemeClr val="dk1">
                  <a:alpha val="40000"/>
                </a:schemeClr>
              </a:outerShdw>
            </a:effectLst>
          </a:endParaRPr>
        </a:p>
      </cdr:txBody>
    </cdr:sp>
  </cdr:relSizeAnchor>
  <cdr:relSizeAnchor xmlns:cdr="http://schemas.openxmlformats.org/drawingml/2006/chartDrawing">
    <cdr:from>
      <cdr:x>0.68543</cdr:x>
      <cdr:y>0.32351</cdr:y>
    </cdr:from>
    <cdr:to>
      <cdr:x>0.84702</cdr:x>
      <cdr:y>0.45396</cdr:y>
    </cdr:to>
    <cdr:sp macro="" textlink="">
      <cdr:nvSpPr>
        <cdr:cNvPr id="5" name="Rectangle 4"/>
        <cdr:cNvSpPr/>
      </cdr:nvSpPr>
      <cdr:spPr>
        <a:xfrm xmlns:a="http://schemas.openxmlformats.org/drawingml/2006/main">
          <a:off x="3451942" y="1131908"/>
          <a:ext cx="813797" cy="456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b="0" i="1" cap="none" spc="0">
              <a:ln w="0"/>
              <a:solidFill>
                <a:schemeClr val="tx1"/>
              </a:solidFill>
              <a:effectLst>
                <a:outerShdw blurRad="38100" dist="19050" dir="2700000" algn="tl" rotWithShape="0">
                  <a:schemeClr val="dk1">
                    <a:alpha val="40000"/>
                  </a:schemeClr>
                </a:outerShdw>
              </a:effectLst>
            </a:rPr>
            <a:t>trade off</a:t>
          </a:r>
        </a:p>
        <a:p xmlns:a="http://schemas.openxmlformats.org/drawingml/2006/main">
          <a:r>
            <a:rPr lang="en-US" b="0" i="1" cap="none" spc="0">
              <a:ln w="0"/>
              <a:solidFill>
                <a:schemeClr val="tx1"/>
              </a:solidFill>
              <a:effectLst>
                <a:outerShdw blurRad="38100" dist="19050" dir="2700000" algn="tl" rotWithShape="0">
                  <a:schemeClr val="dk1">
                    <a:alpha val="40000"/>
                  </a:schemeClr>
                </a:outerShdw>
              </a:effectLst>
            </a:rPr>
            <a:t>kuadran I</a:t>
          </a:r>
        </a:p>
      </cdr:txBody>
    </cdr:sp>
  </cdr:relSizeAnchor>
  <cdr:relSizeAnchor xmlns:cdr="http://schemas.openxmlformats.org/drawingml/2006/chartDrawing">
    <cdr:from>
      <cdr:x>0.67289</cdr:x>
      <cdr:y>0.61134</cdr:y>
    </cdr:from>
    <cdr:to>
      <cdr:x>0.8503</cdr:x>
      <cdr:y>0.7418</cdr:y>
    </cdr:to>
    <cdr:sp macro="" textlink="">
      <cdr:nvSpPr>
        <cdr:cNvPr id="6" name="Rectangle 5"/>
        <cdr:cNvSpPr/>
      </cdr:nvSpPr>
      <cdr:spPr>
        <a:xfrm xmlns:a="http://schemas.openxmlformats.org/drawingml/2006/main">
          <a:off x="3388799" y="2138987"/>
          <a:ext cx="893490" cy="45646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b="0" cap="none" spc="0">
              <a:ln w="0"/>
              <a:solidFill>
                <a:schemeClr val="tx1"/>
              </a:solidFill>
              <a:effectLst>
                <a:outerShdw blurRad="38100" dist="19050" dir="2700000" algn="tl" rotWithShape="0">
                  <a:schemeClr val="dk1">
                    <a:alpha val="40000"/>
                  </a:schemeClr>
                </a:outerShdw>
              </a:effectLst>
            </a:rPr>
            <a:t>dominated</a:t>
          </a:r>
        </a:p>
        <a:p xmlns:a="http://schemas.openxmlformats.org/drawingml/2006/main">
          <a:r>
            <a:rPr lang="en-US" b="0" cap="none" spc="0">
              <a:ln w="0"/>
              <a:solidFill>
                <a:schemeClr val="tx1"/>
              </a:solidFill>
              <a:effectLst>
                <a:outerShdw blurRad="38100" dist="19050" dir="2700000" algn="tl" rotWithShape="0">
                  <a:schemeClr val="dk1">
                    <a:alpha val="40000"/>
                  </a:schemeClr>
                </a:outerShdw>
              </a:effectLst>
            </a:rPr>
            <a:t>kuandran IV</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D9900-854A-4B5A-B8E9-D9ECCC9E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2758</Words>
  <Characters>17601</Characters>
  <Application>Microsoft Office Word</Application>
  <DocSecurity>0</DocSecurity>
  <Lines>298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 A516JAO</cp:lastModifiedBy>
  <cp:revision>2</cp:revision>
  <dcterms:created xsi:type="dcterms:W3CDTF">2023-02-09T02:53:00Z</dcterms:created>
  <dcterms:modified xsi:type="dcterms:W3CDTF">2023-02-09T02:53:00Z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690e87ae-5d15-4659-abef-d33c0bef22f4</vt:lpwstr>
  </property>
</Properties>
</file>