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578E" w:rsidRDefault="003340CC" w:rsidP="003340CC">
      <w:pPr>
        <w:tabs>
          <w:tab w:val="left" w:pos="6270"/>
        </w:tabs>
        <w:spacing w:after="0" w:line="240" w:lineRule="auto"/>
        <w:jc w:val="center"/>
        <w:rPr>
          <w:rFonts w:ascii="Cambria" w:eastAsia="Cambria" w:hAnsi="Cambria" w:cs="Cambria"/>
          <w:b/>
          <w:sz w:val="30"/>
          <w:szCs w:val="30"/>
        </w:rPr>
      </w:pPr>
      <w:bookmarkStart w:id="0" w:name="_Hlk130032109"/>
      <w:r w:rsidRPr="003340CC">
        <w:rPr>
          <w:rFonts w:ascii="Cambria" w:eastAsia="Cambria" w:hAnsi="Cambria" w:cs="Cambria"/>
          <w:b/>
          <w:sz w:val="30"/>
          <w:szCs w:val="30"/>
        </w:rPr>
        <w:t>The Effect of Ownership Structure on Audit Quality in the Banking Sector in 2010-2018</w:t>
      </w:r>
    </w:p>
    <w:bookmarkEnd w:id="0"/>
    <w:p w:rsidR="003340CC" w:rsidRDefault="003340CC" w:rsidP="003340CC">
      <w:pPr>
        <w:tabs>
          <w:tab w:val="left" w:pos="6270"/>
        </w:tabs>
        <w:spacing w:after="0" w:line="240" w:lineRule="auto"/>
        <w:jc w:val="center"/>
        <w:rPr>
          <w:rFonts w:ascii="Cambria" w:eastAsia="Cambria" w:hAnsi="Cambria" w:cs="Cambria"/>
          <w:sz w:val="20"/>
          <w:szCs w:val="20"/>
        </w:rPr>
      </w:pPr>
    </w:p>
    <w:p w:rsidR="00E96EEC" w:rsidRPr="00E96EEC" w:rsidRDefault="00E96EEC" w:rsidP="00E96EEC">
      <w:pPr>
        <w:tabs>
          <w:tab w:val="left" w:pos="6870"/>
        </w:tabs>
        <w:spacing w:after="0" w:line="240" w:lineRule="auto"/>
        <w:jc w:val="center"/>
        <w:rPr>
          <w:rFonts w:ascii="Cambria" w:eastAsia="Cambria" w:hAnsi="Cambria" w:cs="Cambria"/>
          <w:b/>
          <w:sz w:val="20"/>
          <w:szCs w:val="20"/>
        </w:rPr>
      </w:pPr>
      <w:r w:rsidRPr="00E96EEC">
        <w:rPr>
          <w:rFonts w:ascii="Cambria" w:eastAsia="Cambria" w:hAnsi="Cambria" w:cs="Cambria"/>
          <w:b/>
          <w:sz w:val="20"/>
          <w:szCs w:val="20"/>
        </w:rPr>
        <w:t>Evelyn Christina Kurniawan</w:t>
      </w:r>
    </w:p>
    <w:p w:rsidR="00E96EEC" w:rsidRPr="00E96EEC" w:rsidRDefault="00E96EEC" w:rsidP="00E96EEC">
      <w:pPr>
        <w:tabs>
          <w:tab w:val="left" w:pos="6870"/>
        </w:tabs>
        <w:spacing w:after="0" w:line="240" w:lineRule="auto"/>
        <w:jc w:val="center"/>
        <w:rPr>
          <w:rFonts w:ascii="Cambria" w:eastAsia="Cambria" w:hAnsi="Cambria" w:cs="Cambria"/>
          <w:b/>
          <w:sz w:val="20"/>
          <w:szCs w:val="20"/>
        </w:rPr>
      </w:pPr>
      <w:r w:rsidRPr="00E96EEC">
        <w:rPr>
          <w:rFonts w:ascii="Cambria" w:eastAsia="Cambria" w:hAnsi="Cambria" w:cs="Cambria"/>
          <w:b/>
          <w:sz w:val="20"/>
          <w:szCs w:val="20"/>
        </w:rPr>
        <w:t>Universitas Surabaya</w:t>
      </w:r>
    </w:p>
    <w:p w:rsidR="00E96EEC" w:rsidRDefault="00E96EEC" w:rsidP="00E96EEC">
      <w:pPr>
        <w:tabs>
          <w:tab w:val="left" w:pos="6870"/>
        </w:tabs>
        <w:spacing w:after="0" w:line="240" w:lineRule="auto"/>
        <w:jc w:val="center"/>
        <w:rPr>
          <w:rFonts w:ascii="Cambria" w:eastAsia="Cambria" w:hAnsi="Cambria" w:cs="Cambria"/>
          <w:sz w:val="20"/>
          <w:szCs w:val="20"/>
        </w:rPr>
      </w:pPr>
    </w:p>
    <w:tbl>
      <w:tblPr>
        <w:tblStyle w:val="a"/>
        <w:tblW w:w="8958" w:type="dxa"/>
        <w:tblInd w:w="93" w:type="dxa"/>
        <w:tblLayout w:type="fixed"/>
        <w:tblLook w:val="0400" w:firstRow="0" w:lastRow="0" w:firstColumn="0" w:lastColumn="0" w:noHBand="0" w:noVBand="1"/>
      </w:tblPr>
      <w:tblGrid>
        <w:gridCol w:w="2742"/>
        <w:gridCol w:w="284"/>
        <w:gridCol w:w="5932"/>
      </w:tblGrid>
      <w:tr w:rsidR="0094578E">
        <w:trPr>
          <w:trHeight w:val="422"/>
        </w:trPr>
        <w:tc>
          <w:tcPr>
            <w:tcW w:w="2742" w:type="dxa"/>
            <w:tcBorders>
              <w:top w:val="single" w:sz="4" w:space="0" w:color="000000"/>
              <w:left w:val="nil"/>
              <w:bottom w:val="single" w:sz="4" w:space="0" w:color="000000"/>
              <w:right w:val="nil"/>
            </w:tcBorders>
            <w:shd w:val="clear" w:color="auto" w:fill="auto"/>
            <w:vAlign w:val="center"/>
          </w:tcPr>
          <w:p w:rsidR="0094578E" w:rsidRDefault="00000000">
            <w:pPr>
              <w:spacing w:after="0" w:line="240" w:lineRule="auto"/>
              <w:rPr>
                <w:rFonts w:ascii="Cambria" w:eastAsia="Cambria" w:hAnsi="Cambria" w:cs="Cambria"/>
                <w:b/>
                <w:color w:val="808080"/>
                <w:sz w:val="18"/>
                <w:szCs w:val="18"/>
              </w:rPr>
            </w:pPr>
            <w:r>
              <w:rPr>
                <w:rFonts w:ascii="Cambria" w:eastAsia="Cambria" w:hAnsi="Cambria" w:cs="Cambria"/>
                <w:b/>
                <w:color w:val="808080"/>
                <w:sz w:val="18"/>
                <w:szCs w:val="18"/>
              </w:rPr>
              <w:t>ARTICLEINFO</w:t>
            </w:r>
          </w:p>
        </w:tc>
        <w:tc>
          <w:tcPr>
            <w:tcW w:w="284" w:type="dxa"/>
            <w:tcBorders>
              <w:top w:val="single" w:sz="4" w:space="0" w:color="000000"/>
              <w:left w:val="nil"/>
              <w:bottom w:val="single" w:sz="4" w:space="0" w:color="FFFFFF"/>
              <w:right w:val="nil"/>
            </w:tcBorders>
          </w:tcPr>
          <w:p w:rsidR="0094578E" w:rsidRDefault="0094578E">
            <w:pPr>
              <w:spacing w:after="0" w:line="240" w:lineRule="auto"/>
              <w:rPr>
                <w:rFonts w:ascii="Cambria" w:eastAsia="Cambria" w:hAnsi="Cambria" w:cs="Cambria"/>
                <w:b/>
                <w:color w:val="808080"/>
                <w:sz w:val="18"/>
                <w:szCs w:val="18"/>
              </w:rPr>
            </w:pPr>
          </w:p>
        </w:tc>
        <w:tc>
          <w:tcPr>
            <w:tcW w:w="5933" w:type="dxa"/>
            <w:tcBorders>
              <w:top w:val="single" w:sz="4" w:space="0" w:color="000000"/>
              <w:left w:val="nil"/>
              <w:bottom w:val="single" w:sz="4" w:space="0" w:color="808080"/>
              <w:right w:val="nil"/>
            </w:tcBorders>
            <w:shd w:val="clear" w:color="auto" w:fill="auto"/>
            <w:vAlign w:val="center"/>
          </w:tcPr>
          <w:p w:rsidR="0094578E" w:rsidRDefault="00000000">
            <w:pPr>
              <w:spacing w:after="0" w:line="240" w:lineRule="auto"/>
              <w:rPr>
                <w:rFonts w:ascii="Cambria" w:eastAsia="Cambria" w:hAnsi="Cambria" w:cs="Cambria"/>
                <w:color w:val="808080"/>
                <w:sz w:val="18"/>
                <w:szCs w:val="18"/>
              </w:rPr>
            </w:pPr>
            <w:r>
              <w:rPr>
                <w:rFonts w:ascii="Cambria" w:eastAsia="Cambria" w:hAnsi="Cambria" w:cs="Cambria"/>
                <w:b/>
                <w:color w:val="808080"/>
                <w:sz w:val="18"/>
                <w:szCs w:val="18"/>
              </w:rPr>
              <w:t>ABSTRACT</w:t>
            </w:r>
            <w:r>
              <w:rPr>
                <w:rFonts w:ascii="Cambria" w:eastAsia="Cambria" w:hAnsi="Cambria" w:cs="Cambria"/>
                <w:color w:val="808080"/>
                <w:sz w:val="18"/>
                <w:szCs w:val="18"/>
              </w:rPr>
              <w:t xml:space="preserve"> </w:t>
            </w:r>
          </w:p>
        </w:tc>
      </w:tr>
      <w:tr w:rsidR="0094578E">
        <w:trPr>
          <w:trHeight w:val="19"/>
        </w:trPr>
        <w:tc>
          <w:tcPr>
            <w:tcW w:w="2742" w:type="dxa"/>
            <w:tcBorders>
              <w:top w:val="single" w:sz="4" w:space="0" w:color="000000"/>
              <w:left w:val="nil"/>
              <w:bottom w:val="single" w:sz="4" w:space="0" w:color="000000"/>
              <w:right w:val="nil"/>
            </w:tcBorders>
            <w:shd w:val="clear" w:color="auto" w:fill="auto"/>
            <w:vAlign w:val="center"/>
          </w:tcPr>
          <w:p w:rsidR="0094578E" w:rsidRDefault="00000000">
            <w:pPr>
              <w:spacing w:after="0" w:line="240" w:lineRule="auto"/>
              <w:rPr>
                <w:rFonts w:ascii="Cambria" w:eastAsia="Cambria" w:hAnsi="Cambria" w:cs="Cambria"/>
                <w:color w:val="808080"/>
                <w:sz w:val="18"/>
                <w:szCs w:val="18"/>
              </w:rPr>
            </w:pPr>
            <w:r>
              <w:rPr>
                <w:rFonts w:ascii="Cambria" w:eastAsia="Cambria" w:hAnsi="Cambria" w:cs="Cambria"/>
                <w:b/>
                <w:i/>
                <w:color w:val="808080"/>
                <w:sz w:val="18"/>
                <w:szCs w:val="18"/>
              </w:rPr>
              <w:t>Keywords</w:t>
            </w:r>
            <w:r>
              <w:rPr>
                <w:rFonts w:ascii="Cambria" w:eastAsia="Cambria" w:hAnsi="Cambria" w:cs="Cambria"/>
                <w:color w:val="808080"/>
                <w:sz w:val="18"/>
                <w:szCs w:val="18"/>
              </w:rPr>
              <w:t xml:space="preserve">: </w:t>
            </w:r>
          </w:p>
          <w:p w:rsidR="0094578E" w:rsidRDefault="003340CC">
            <w:pPr>
              <w:spacing w:after="0" w:line="240" w:lineRule="auto"/>
              <w:rPr>
                <w:rFonts w:ascii="Cambria" w:eastAsia="Cambria" w:hAnsi="Cambria" w:cs="Cambria"/>
                <w:color w:val="808080"/>
                <w:sz w:val="18"/>
                <w:szCs w:val="18"/>
              </w:rPr>
            </w:pPr>
            <w:r w:rsidRPr="003340CC">
              <w:rPr>
                <w:rFonts w:ascii="Cambria" w:eastAsia="Cambria" w:hAnsi="Cambria" w:cs="Cambria"/>
                <w:sz w:val="18"/>
                <w:szCs w:val="18"/>
              </w:rPr>
              <w:t>Ownership Structure, Governance, Financial Difficulties,</w:t>
            </w:r>
          </w:p>
        </w:tc>
        <w:tc>
          <w:tcPr>
            <w:tcW w:w="284" w:type="dxa"/>
            <w:tcBorders>
              <w:top w:val="single" w:sz="4" w:space="0" w:color="FFFFFF"/>
              <w:left w:val="nil"/>
              <w:right w:val="nil"/>
            </w:tcBorders>
          </w:tcPr>
          <w:p w:rsidR="0094578E" w:rsidRDefault="0094578E">
            <w:pPr>
              <w:spacing w:after="0" w:line="240" w:lineRule="auto"/>
              <w:rPr>
                <w:rFonts w:ascii="Cambria" w:eastAsia="Cambria" w:hAnsi="Cambria" w:cs="Cambria"/>
                <w:sz w:val="18"/>
                <w:szCs w:val="18"/>
              </w:rPr>
            </w:pPr>
          </w:p>
        </w:tc>
        <w:tc>
          <w:tcPr>
            <w:tcW w:w="5933" w:type="dxa"/>
            <w:tcBorders>
              <w:top w:val="single" w:sz="4" w:space="0" w:color="808080"/>
              <w:left w:val="nil"/>
              <w:right w:val="nil"/>
            </w:tcBorders>
            <w:shd w:val="clear" w:color="auto" w:fill="auto"/>
            <w:vAlign w:val="center"/>
          </w:tcPr>
          <w:p w:rsidR="003340CC" w:rsidRPr="003340CC" w:rsidRDefault="003340CC" w:rsidP="003340CC">
            <w:pPr>
              <w:spacing w:after="0" w:line="240" w:lineRule="auto"/>
              <w:jc w:val="both"/>
              <w:rPr>
                <w:rFonts w:ascii="Cambria" w:eastAsia="Cambria" w:hAnsi="Cambria" w:cs="Cambria"/>
                <w:sz w:val="18"/>
                <w:szCs w:val="18"/>
              </w:rPr>
            </w:pPr>
            <w:r w:rsidRPr="003340CC">
              <w:rPr>
                <w:rFonts w:ascii="Cambria" w:eastAsia="Cambria" w:hAnsi="Cambria" w:cs="Cambria"/>
                <w:sz w:val="18"/>
                <w:szCs w:val="18"/>
              </w:rPr>
              <w:t>This study aims to identify the effect of state ownership structure and large share ownership on audit quality in the banking sector. The sample for this research is banking sector companies listed on the Indonesia Stock Exchange (IDX) in 2010-2018. Researchers used the ordinal logistic regression test, model testing was done twice. The first study measured large shares with a concentration of ownership of the first 10 shareholders. The second research measures large shares with block share ownership above 5%. The results of the study show that there is no significant effect between state ownership and ownership concentration variables on audit quality. The results of the study used a robust blockholder ownership variable in the first study. This can be explained by the characteristics of market players in Indonesia, most of whom only consider capital gains and pay little attention to audit quality. The conclusion of this study is that the role of governance is less than optimal in the banking sector in Indonesia. This research can be useful for evaluating the implementation of governance regulations and evaluating bank audit quality.</w:t>
            </w:r>
          </w:p>
          <w:p w:rsidR="0094578E" w:rsidRDefault="0094578E" w:rsidP="003340CC">
            <w:pPr>
              <w:spacing w:after="0" w:line="240" w:lineRule="auto"/>
              <w:jc w:val="both"/>
              <w:rPr>
                <w:rFonts w:ascii="Cambria" w:eastAsia="Cambria" w:hAnsi="Cambria" w:cs="Cambria"/>
                <w:b/>
                <w:sz w:val="18"/>
                <w:szCs w:val="18"/>
              </w:rPr>
            </w:pPr>
          </w:p>
        </w:tc>
      </w:tr>
      <w:tr w:rsidR="0094578E">
        <w:trPr>
          <w:trHeight w:val="225"/>
        </w:trPr>
        <w:tc>
          <w:tcPr>
            <w:tcW w:w="2742" w:type="dxa"/>
            <w:tcBorders>
              <w:top w:val="single" w:sz="4" w:space="0" w:color="000000"/>
              <w:left w:val="nil"/>
              <w:bottom w:val="single" w:sz="4" w:space="0" w:color="000000"/>
              <w:right w:val="nil"/>
            </w:tcBorders>
            <w:vAlign w:val="center"/>
          </w:tcPr>
          <w:p w:rsidR="0094578E" w:rsidRDefault="00000000">
            <w:pPr>
              <w:spacing w:after="0" w:line="240" w:lineRule="auto"/>
              <w:rPr>
                <w:rFonts w:ascii="Cambria" w:eastAsia="Cambria" w:hAnsi="Cambria" w:cs="Cambria"/>
                <w:b/>
                <w:color w:val="0070C0"/>
                <w:sz w:val="18"/>
                <w:szCs w:val="18"/>
              </w:rPr>
            </w:pPr>
            <w:r>
              <w:rPr>
                <w:rFonts w:ascii="Cambria" w:eastAsia="Cambria" w:hAnsi="Cambria" w:cs="Cambria"/>
                <w:b/>
                <w:color w:val="0070C0"/>
                <w:sz w:val="18"/>
                <w:szCs w:val="18"/>
              </w:rPr>
              <w:t xml:space="preserve">E-mail: </w:t>
            </w:r>
          </w:p>
          <w:p w:rsidR="0094578E" w:rsidRDefault="00E96EEC">
            <w:pPr>
              <w:spacing w:after="0" w:line="240" w:lineRule="auto"/>
              <w:rPr>
                <w:rFonts w:ascii="Cambria" w:eastAsia="Cambria" w:hAnsi="Cambria" w:cs="Cambria"/>
                <w:color w:val="0070C0"/>
                <w:sz w:val="18"/>
                <w:szCs w:val="18"/>
              </w:rPr>
            </w:pPr>
            <w:r w:rsidRPr="00E96EEC">
              <w:rPr>
                <w:rFonts w:ascii="Cambria" w:eastAsia="Cambria" w:hAnsi="Cambria" w:cs="Cambria"/>
                <w:color w:val="0070C0"/>
                <w:sz w:val="18"/>
                <w:szCs w:val="18"/>
              </w:rPr>
              <w:t>s134220012@student.ubaya.ac.id</w:t>
            </w:r>
          </w:p>
        </w:tc>
        <w:tc>
          <w:tcPr>
            <w:tcW w:w="284" w:type="dxa"/>
            <w:tcBorders>
              <w:top w:val="nil"/>
              <w:left w:val="nil"/>
              <w:bottom w:val="single" w:sz="4" w:space="0" w:color="000000"/>
              <w:right w:val="nil"/>
            </w:tcBorders>
          </w:tcPr>
          <w:p w:rsidR="0094578E" w:rsidRDefault="0094578E">
            <w:pPr>
              <w:spacing w:after="0" w:line="240" w:lineRule="auto"/>
              <w:jc w:val="right"/>
              <w:rPr>
                <w:rFonts w:ascii="Cambria" w:eastAsia="Cambria" w:hAnsi="Cambria" w:cs="Cambria"/>
                <w:color w:val="808080"/>
                <w:sz w:val="18"/>
                <w:szCs w:val="18"/>
              </w:rPr>
            </w:pPr>
          </w:p>
        </w:tc>
        <w:tc>
          <w:tcPr>
            <w:tcW w:w="5933" w:type="dxa"/>
            <w:tcBorders>
              <w:top w:val="nil"/>
              <w:left w:val="nil"/>
              <w:bottom w:val="single" w:sz="4" w:space="0" w:color="000000"/>
              <w:right w:val="nil"/>
            </w:tcBorders>
            <w:shd w:val="clear" w:color="auto" w:fill="auto"/>
            <w:vAlign w:val="center"/>
          </w:tcPr>
          <w:p w:rsidR="0094578E" w:rsidRDefault="00000000">
            <w:pPr>
              <w:spacing w:after="0" w:line="240" w:lineRule="auto"/>
              <w:jc w:val="right"/>
              <w:rPr>
                <w:rFonts w:ascii="Cambria" w:eastAsia="Cambria" w:hAnsi="Cambria" w:cs="Cambria"/>
                <w:color w:val="000000"/>
                <w:sz w:val="18"/>
                <w:szCs w:val="18"/>
              </w:rPr>
            </w:pPr>
            <w:r>
              <w:rPr>
                <w:rFonts w:ascii="Cambria" w:eastAsia="Cambria" w:hAnsi="Cambria" w:cs="Cambria"/>
                <w:color w:val="808080"/>
                <w:sz w:val="18"/>
                <w:szCs w:val="18"/>
              </w:rPr>
              <w:t>Copyright © 2020 Economic Journal.All rights reserved</w:t>
            </w:r>
            <w:r>
              <w:rPr>
                <w:rFonts w:ascii="Cambria" w:eastAsia="Cambria" w:hAnsi="Cambria" w:cs="Cambria"/>
                <w:color w:val="000000"/>
                <w:sz w:val="18"/>
                <w:szCs w:val="18"/>
              </w:rPr>
              <w:t>.</w:t>
            </w:r>
          </w:p>
          <w:p w:rsidR="0094578E" w:rsidRDefault="00000000">
            <w:pPr>
              <w:spacing w:after="0" w:line="240" w:lineRule="auto"/>
              <w:jc w:val="right"/>
              <w:rPr>
                <w:rFonts w:ascii="Cambria" w:eastAsia="Cambria" w:hAnsi="Cambria" w:cs="Cambria"/>
                <w:color w:val="0070C0"/>
                <w:sz w:val="18"/>
                <w:szCs w:val="18"/>
              </w:rPr>
            </w:pPr>
            <w:r>
              <w:rPr>
                <w:rFonts w:ascii="Cambria" w:eastAsia="Cambria" w:hAnsi="Cambria" w:cs="Cambria"/>
                <w:color w:val="808080"/>
                <w:sz w:val="18"/>
                <w:szCs w:val="18"/>
              </w:rPr>
              <w:t xml:space="preserve">is Licensed under a </w:t>
            </w:r>
            <w:r>
              <w:rPr>
                <w:rFonts w:ascii="Cambria" w:eastAsia="Cambria" w:hAnsi="Cambria" w:cs="Cambria"/>
                <w:color w:val="0070C0"/>
                <w:sz w:val="18"/>
                <w:szCs w:val="18"/>
              </w:rPr>
              <w:t>Creative Commons Attribution-NonCommercial 4.0 International License (CC BY-NC 4.0)</w:t>
            </w:r>
            <w:r>
              <w:rPr>
                <w:rFonts w:ascii="Cambria" w:eastAsia="Cambria" w:hAnsi="Cambria" w:cs="Cambria"/>
                <w:sz w:val="18"/>
                <w:szCs w:val="18"/>
              </w:rPr>
              <w:t xml:space="preserve"> </w:t>
            </w:r>
          </w:p>
          <w:p w:rsidR="0094578E" w:rsidRDefault="0094578E">
            <w:pPr>
              <w:spacing w:after="0" w:line="240" w:lineRule="auto"/>
              <w:jc w:val="right"/>
              <w:rPr>
                <w:rFonts w:ascii="Cambria" w:eastAsia="Cambria" w:hAnsi="Cambria" w:cs="Cambria"/>
                <w:color w:val="000000"/>
                <w:sz w:val="18"/>
                <w:szCs w:val="18"/>
              </w:rPr>
            </w:pPr>
          </w:p>
        </w:tc>
      </w:tr>
    </w:tbl>
    <w:p w:rsidR="0094578E" w:rsidRDefault="0094578E">
      <w:pPr>
        <w:spacing w:after="0" w:line="240" w:lineRule="auto"/>
        <w:ind w:left="567" w:right="565"/>
        <w:jc w:val="center"/>
        <w:rPr>
          <w:rFonts w:ascii="Cambria" w:eastAsia="Cambria" w:hAnsi="Cambria" w:cs="Cambria"/>
          <w:sz w:val="20"/>
          <w:szCs w:val="20"/>
        </w:rPr>
      </w:pPr>
    </w:p>
    <w:p w:rsidR="0094578E" w:rsidRDefault="00000000">
      <w:pPr>
        <w:numPr>
          <w:ilvl w:val="0"/>
          <w:numId w:val="1"/>
        </w:numPr>
        <w:pBdr>
          <w:top w:val="nil"/>
          <w:left w:val="nil"/>
          <w:bottom w:val="nil"/>
          <w:right w:val="nil"/>
          <w:between w:val="nil"/>
        </w:pBdr>
        <w:spacing w:after="0" w:line="240" w:lineRule="auto"/>
        <w:ind w:left="567" w:hanging="567"/>
        <w:rPr>
          <w:rFonts w:ascii="Cambria" w:eastAsia="Cambria" w:hAnsi="Cambria" w:cs="Cambria"/>
          <w:b/>
          <w:color w:val="000000"/>
          <w:sz w:val="20"/>
          <w:szCs w:val="20"/>
        </w:rPr>
      </w:pPr>
      <w:r>
        <w:rPr>
          <w:rFonts w:ascii="Cambria" w:eastAsia="Cambria" w:hAnsi="Cambria" w:cs="Cambria"/>
          <w:b/>
          <w:color w:val="000000"/>
        </w:rPr>
        <w:t>INTRODUCTION</w:t>
      </w:r>
      <w:r>
        <w:rPr>
          <w:rFonts w:ascii="Cambria" w:eastAsia="Cambria" w:hAnsi="Cambria" w:cs="Cambria"/>
          <w:b/>
          <w:color w:val="000000"/>
          <w:sz w:val="20"/>
          <w:szCs w:val="20"/>
        </w:rPr>
        <w:t xml:space="preserve"> </w:t>
      </w:r>
    </w:p>
    <w:p w:rsidR="003340CC" w:rsidRPr="003340CC" w:rsidRDefault="00000000" w:rsidP="003340CC">
      <w:pPr>
        <w:tabs>
          <w:tab w:val="left" w:pos="567"/>
        </w:tabs>
        <w:spacing w:after="0"/>
        <w:ind w:firstLine="284"/>
        <w:jc w:val="both"/>
        <w:rPr>
          <w:rFonts w:ascii="Cambria" w:eastAsia="Cambria" w:hAnsi="Cambria" w:cs="Cambria"/>
          <w:sz w:val="20"/>
          <w:szCs w:val="20"/>
        </w:rPr>
      </w:pPr>
      <w:r>
        <w:rPr>
          <w:rFonts w:ascii="Cambria" w:eastAsia="Cambria" w:hAnsi="Cambria" w:cs="Cambria"/>
          <w:sz w:val="20"/>
          <w:szCs w:val="20"/>
        </w:rPr>
        <w:tab/>
      </w:r>
      <w:r w:rsidR="003340CC" w:rsidRPr="003340CC">
        <w:rPr>
          <w:rFonts w:ascii="Cambria" w:eastAsia="Cambria" w:hAnsi="Cambria" w:cs="Cambria"/>
          <w:sz w:val="20"/>
          <w:szCs w:val="20"/>
        </w:rPr>
        <w:t>A bank is an institution that acts as a financial intermediary between the public and other institutions. The Law of the Republic of Indonesia Number 10 of 1998 article one defines a bank as a business entity that collects funds from the public in the form of savings and distributes them to the public in the form of credit and or other forms in order to improve the standard of living of the common people. Banks have an important role in the country's economy because of their systematic risk nature. Systematic risk is a condition where one bank's financial failure affects other institutions, from financial to non- financial (Fiordelisi &amp; Marqués- Ibañez , 2013). Its nature is systematic risk, making its audit quality more stringent. Bahlan Bank is still being audited again by OJK (Financial Services Authority) and LPS (Deposit Guarantee Agency). It's just that in Indonesia there is still controversy with banks such as the cases of Bank Century (2008), Bank BRI (2011), and Bank Bukopin (2018).</w:t>
      </w:r>
    </w:p>
    <w:p w:rsidR="003340CC" w:rsidRPr="003340CC" w:rsidRDefault="003340CC" w:rsidP="003340CC">
      <w:pPr>
        <w:tabs>
          <w:tab w:val="left" w:pos="567"/>
        </w:tabs>
        <w:spacing w:after="0"/>
        <w:ind w:firstLine="284"/>
        <w:jc w:val="both"/>
        <w:rPr>
          <w:rFonts w:ascii="Cambria" w:eastAsia="Cambria" w:hAnsi="Cambria" w:cs="Cambria"/>
          <w:sz w:val="20"/>
          <w:szCs w:val="20"/>
        </w:rPr>
      </w:pPr>
      <w:r w:rsidRPr="003340CC">
        <w:rPr>
          <w:rFonts w:ascii="Cambria" w:eastAsia="Cambria" w:hAnsi="Cambria" w:cs="Cambria"/>
          <w:sz w:val="20"/>
          <w:szCs w:val="20"/>
        </w:rPr>
        <w:t>Dewi et al. (2015) makes the Century bank case an example of the practice of deviating from regulations in the banking sector because it respects prudential banking principles by providing unlimited credit to customers who belong to the same group as that bank. Apart from Bank Century, Bank BRI was also entangled in a scandal in 2011. It started on 23 February 2011 when a team of examiners and supervisors from the BRI Bangkinang Branch find report fictitious cash on Bank BRI unit Tapung Raya. It turned out that after investigation, the head of the branch engineered the financial reports for interests prinadi ( Ariesanti 2015). After that, in 2018 , Bank Bukopin also made one controversy by suddenly revealing that they will improve the 2015-2017 financial statements. Bank Bukopin suspected manipulating 100,000 credit card data over the past 5 years (Ayem and Yuliana 2019). Bank Bukopin 's overstatement condition get away from supervision of internal auditors, external auditors, Bank Indonesia, to the Financial Services Authority. These cases of audit failure, especially in banking, have made the public doubtful about the financial sector and raised questions about the role of Good Corporate Governance (GCG) and audit quality in the Indonesian banking sector.</w:t>
      </w:r>
    </w:p>
    <w:p w:rsidR="003340CC" w:rsidRPr="003340CC" w:rsidRDefault="003340CC" w:rsidP="003340CC">
      <w:pPr>
        <w:tabs>
          <w:tab w:val="left" w:pos="567"/>
        </w:tabs>
        <w:spacing w:after="0"/>
        <w:ind w:firstLine="284"/>
        <w:jc w:val="both"/>
        <w:rPr>
          <w:rFonts w:ascii="Cambria" w:eastAsia="Cambria" w:hAnsi="Cambria" w:cs="Cambria"/>
          <w:sz w:val="20"/>
          <w:szCs w:val="20"/>
        </w:rPr>
      </w:pPr>
      <w:r w:rsidRPr="003340CC">
        <w:rPr>
          <w:rFonts w:ascii="Cambria" w:eastAsia="Cambria" w:hAnsi="Cambria" w:cs="Cambria"/>
          <w:sz w:val="20"/>
          <w:szCs w:val="20"/>
        </w:rPr>
        <w:lastRenderedPageBreak/>
        <w:t>The reliability of financial information is crucial for the market, especially banking. People who deposit their money in banks really put their trust. To gain public trust, banks try to increase the credibility of financial information. One aspect that can contribute to increasing public trust is the work of an independent auditor. The review conducted by the auditor assumes greater significance given that the preparation of financial information increasingly incorporates subjective aspects of professional judgment, facilitating the potential for opportunistic behavior by managers in the sense of concealing financial situations that are sometimes not satisfactory (Dantas &amp; De Medeiros, 2015). So that the auditor's reputation can certainly be one of the indicators in determining audit quality.</w:t>
      </w:r>
    </w:p>
    <w:p w:rsidR="003340CC" w:rsidRPr="003340CC" w:rsidRDefault="003340CC" w:rsidP="003340CC">
      <w:pPr>
        <w:tabs>
          <w:tab w:val="left" w:pos="567"/>
        </w:tabs>
        <w:spacing w:after="0"/>
        <w:ind w:firstLine="284"/>
        <w:jc w:val="both"/>
        <w:rPr>
          <w:rFonts w:ascii="Cambria" w:eastAsia="Cambria" w:hAnsi="Cambria" w:cs="Cambria"/>
          <w:sz w:val="20"/>
          <w:szCs w:val="20"/>
        </w:rPr>
      </w:pPr>
    </w:p>
    <w:p w:rsidR="003340CC" w:rsidRPr="003340CC" w:rsidRDefault="003340CC" w:rsidP="003340CC">
      <w:pPr>
        <w:tabs>
          <w:tab w:val="left" w:pos="567"/>
        </w:tabs>
        <w:spacing w:after="0"/>
        <w:jc w:val="both"/>
        <w:rPr>
          <w:rFonts w:ascii="Cambria" w:eastAsia="Cambria" w:hAnsi="Cambria" w:cs="Cambria"/>
          <w:b/>
          <w:bCs/>
          <w:sz w:val="20"/>
          <w:szCs w:val="20"/>
        </w:rPr>
      </w:pPr>
      <w:r w:rsidRPr="003340CC">
        <w:rPr>
          <w:rFonts w:ascii="Cambria" w:eastAsia="Cambria" w:hAnsi="Cambria" w:cs="Cambria"/>
          <w:b/>
          <w:bCs/>
          <w:sz w:val="20"/>
          <w:szCs w:val="20"/>
        </w:rPr>
        <w:t>THEORETICAL REVIEW</w:t>
      </w:r>
    </w:p>
    <w:p w:rsidR="003340CC" w:rsidRPr="003340CC" w:rsidRDefault="003340CC" w:rsidP="003340CC">
      <w:pPr>
        <w:tabs>
          <w:tab w:val="left" w:pos="567"/>
        </w:tabs>
        <w:spacing w:after="0"/>
        <w:jc w:val="both"/>
        <w:rPr>
          <w:rFonts w:ascii="Cambria" w:eastAsia="Cambria" w:hAnsi="Cambria" w:cs="Cambria"/>
          <w:b/>
          <w:bCs/>
          <w:sz w:val="20"/>
          <w:szCs w:val="20"/>
        </w:rPr>
      </w:pPr>
      <w:r w:rsidRPr="003340CC">
        <w:rPr>
          <w:rFonts w:ascii="Cambria" w:eastAsia="Cambria" w:hAnsi="Cambria" w:cs="Cambria"/>
          <w:b/>
          <w:bCs/>
          <w:sz w:val="20"/>
          <w:szCs w:val="20"/>
        </w:rPr>
        <w:t>Agency Theory</w:t>
      </w:r>
    </w:p>
    <w:p w:rsidR="003340CC" w:rsidRPr="003340CC" w:rsidRDefault="003340CC" w:rsidP="003340CC">
      <w:pPr>
        <w:tabs>
          <w:tab w:val="left" w:pos="567"/>
        </w:tabs>
        <w:spacing w:after="0"/>
        <w:ind w:firstLine="284"/>
        <w:jc w:val="both"/>
        <w:rPr>
          <w:rFonts w:ascii="Cambria" w:eastAsia="Cambria" w:hAnsi="Cambria" w:cs="Cambria"/>
          <w:sz w:val="20"/>
          <w:szCs w:val="20"/>
        </w:rPr>
      </w:pPr>
      <w:r w:rsidRPr="003340CC">
        <w:rPr>
          <w:rFonts w:ascii="Cambria" w:eastAsia="Cambria" w:hAnsi="Cambria" w:cs="Cambria"/>
          <w:sz w:val="20"/>
          <w:szCs w:val="20"/>
        </w:rPr>
        <w:t>Connection agency described as contract between one or more people (principal) to another person (agent) to provide services on behalf of the principal and delegate decision-making authority decision to agents (Aprifa &amp; Ardiyanto, 2017) If both want to maximize satisfaction then there is good reason to believe that the agent does not always act in the principal's interest. Principals and agents often have problems because of the different goals of the two parties. Often the agent has a self-centered nature that prioritizes his own welfare, causing the actions taken by the agent to deviate from the principal's goals.</w:t>
      </w:r>
    </w:p>
    <w:p w:rsidR="003340CC" w:rsidRPr="003340CC" w:rsidRDefault="003340CC" w:rsidP="003340CC">
      <w:pPr>
        <w:tabs>
          <w:tab w:val="left" w:pos="567"/>
        </w:tabs>
        <w:spacing w:after="0"/>
        <w:ind w:firstLine="284"/>
        <w:jc w:val="both"/>
        <w:rPr>
          <w:rFonts w:ascii="Cambria" w:eastAsia="Cambria" w:hAnsi="Cambria" w:cs="Cambria"/>
          <w:sz w:val="20"/>
          <w:szCs w:val="20"/>
        </w:rPr>
      </w:pPr>
      <w:r w:rsidRPr="003340CC">
        <w:rPr>
          <w:rFonts w:ascii="Cambria" w:eastAsia="Cambria" w:hAnsi="Cambria" w:cs="Cambria"/>
          <w:sz w:val="20"/>
          <w:szCs w:val="20"/>
        </w:rPr>
        <w:t>Agency theory has three characteristics, namely information asymmetry, moral hazard, and adverse selection (Qurrata, 2017) Information asymmetry is a condition when one party knows more information than the other party. Those who have control over the information then take advantage of this opportunity. Information asymmetry is the starting point for the other two problems, namely moral hazard and adverse selection. Moral hazard occurs when agents exploit information for personal gain. Adverse selection occurs due to lack of information from those who will make decisions. These three problems can cause market failure in the company (Udin, Khan, &amp; Javid, 2017). The emergence of information asymmetry, moral hazard, and adverse selection can harm the company financially.</w:t>
      </w:r>
    </w:p>
    <w:p w:rsidR="003340CC" w:rsidRPr="003340CC" w:rsidRDefault="003340CC" w:rsidP="003340CC">
      <w:pPr>
        <w:tabs>
          <w:tab w:val="left" w:pos="567"/>
        </w:tabs>
        <w:spacing w:after="0"/>
        <w:ind w:firstLine="284"/>
        <w:jc w:val="both"/>
        <w:rPr>
          <w:rFonts w:ascii="Cambria" w:eastAsia="Cambria" w:hAnsi="Cambria" w:cs="Cambria"/>
          <w:sz w:val="20"/>
          <w:szCs w:val="20"/>
        </w:rPr>
      </w:pPr>
    </w:p>
    <w:p w:rsidR="003340CC" w:rsidRPr="003340CC" w:rsidRDefault="003340CC" w:rsidP="003340CC">
      <w:pPr>
        <w:tabs>
          <w:tab w:val="left" w:pos="567"/>
        </w:tabs>
        <w:spacing w:after="0"/>
        <w:jc w:val="both"/>
        <w:rPr>
          <w:rFonts w:ascii="Cambria" w:eastAsia="Cambria" w:hAnsi="Cambria" w:cs="Cambria"/>
          <w:b/>
          <w:bCs/>
          <w:sz w:val="20"/>
          <w:szCs w:val="20"/>
        </w:rPr>
      </w:pPr>
      <w:r w:rsidRPr="003340CC">
        <w:rPr>
          <w:rFonts w:ascii="Cambria" w:eastAsia="Cambria" w:hAnsi="Cambria" w:cs="Cambria"/>
          <w:b/>
          <w:bCs/>
          <w:sz w:val="20"/>
          <w:szCs w:val="20"/>
        </w:rPr>
        <w:t>Ownership Structure</w:t>
      </w:r>
    </w:p>
    <w:p w:rsidR="003340CC" w:rsidRPr="003340CC" w:rsidRDefault="003340CC" w:rsidP="003340CC">
      <w:pPr>
        <w:tabs>
          <w:tab w:val="left" w:pos="567"/>
        </w:tabs>
        <w:spacing w:after="0"/>
        <w:ind w:firstLine="284"/>
        <w:jc w:val="both"/>
        <w:rPr>
          <w:rFonts w:ascii="Cambria" w:eastAsia="Cambria" w:hAnsi="Cambria" w:cs="Cambria"/>
          <w:sz w:val="20"/>
          <w:szCs w:val="20"/>
        </w:rPr>
      </w:pPr>
      <w:r w:rsidRPr="003340CC">
        <w:rPr>
          <w:rFonts w:ascii="Cambria" w:eastAsia="Cambria" w:hAnsi="Cambria" w:cs="Cambria"/>
          <w:sz w:val="20"/>
          <w:szCs w:val="20"/>
        </w:rPr>
        <w:t>Kholis (2014) mentions that the share ownership structure reflects the distribution of power and influence among shareholders over the company's operational activities. Majority shareholders have an important role in controlling the company. While large shareholders cannot monitor management, majority shareholders can still facilitate third parties to control management and share profits with party third (Asward &amp; Lina, 2015). The third party here can be an external auditor who regularly audits the company.</w:t>
      </w:r>
    </w:p>
    <w:p w:rsidR="003340CC" w:rsidRPr="003340CC" w:rsidRDefault="003340CC" w:rsidP="003340CC">
      <w:pPr>
        <w:tabs>
          <w:tab w:val="left" w:pos="567"/>
        </w:tabs>
        <w:spacing w:after="0"/>
        <w:ind w:firstLine="284"/>
        <w:jc w:val="both"/>
        <w:rPr>
          <w:rFonts w:ascii="Cambria" w:eastAsia="Cambria" w:hAnsi="Cambria" w:cs="Cambria"/>
          <w:sz w:val="20"/>
          <w:szCs w:val="20"/>
        </w:rPr>
      </w:pPr>
      <w:r w:rsidRPr="003340CC">
        <w:rPr>
          <w:rFonts w:ascii="Cambria" w:eastAsia="Cambria" w:hAnsi="Cambria" w:cs="Cambria"/>
          <w:sz w:val="20"/>
          <w:szCs w:val="20"/>
        </w:rPr>
        <w:t>Survey and find that increasing investor interest in corporate governance is a reflection of the understanding that investors place a high priority on the quality of corporate governance when make decision investment (Meilani, Puspitosari, Pramesti, Pertiwi, &amp; Wiyadi, 2022) The nature of investors in Indonesia is willing to pay premium fees to companies with good governance. Indonesia itself occupies the top 10 position in this case. So that in Indonesia, the ownership structure is one of the important characteristics of corporate governance.</w:t>
      </w:r>
    </w:p>
    <w:p w:rsidR="003340CC" w:rsidRPr="003340CC" w:rsidRDefault="003340CC" w:rsidP="003340CC">
      <w:pPr>
        <w:tabs>
          <w:tab w:val="left" w:pos="567"/>
        </w:tabs>
        <w:spacing w:after="0"/>
        <w:ind w:firstLine="284"/>
        <w:jc w:val="both"/>
        <w:rPr>
          <w:rFonts w:ascii="Cambria" w:eastAsia="Cambria" w:hAnsi="Cambria" w:cs="Cambria"/>
          <w:sz w:val="20"/>
          <w:szCs w:val="20"/>
        </w:rPr>
      </w:pPr>
      <w:r w:rsidRPr="003340CC">
        <w:rPr>
          <w:rFonts w:ascii="Cambria" w:eastAsia="Cambria" w:hAnsi="Cambria" w:cs="Cambria"/>
          <w:sz w:val="20"/>
          <w:szCs w:val="20"/>
        </w:rPr>
        <w:t>All common shareholders have the right to participate in the General Meeting of Shareholders (GMS) and have the number of votes corresponding to their respective common shares (IFC, 2018). So that the preferences of auditor selection can certainly be influenced by shareholders.</w:t>
      </w:r>
    </w:p>
    <w:p w:rsidR="003340CC" w:rsidRPr="003340CC" w:rsidRDefault="003340CC" w:rsidP="003340CC">
      <w:pPr>
        <w:tabs>
          <w:tab w:val="left" w:pos="567"/>
        </w:tabs>
        <w:spacing w:after="0"/>
        <w:ind w:firstLine="284"/>
        <w:jc w:val="both"/>
        <w:rPr>
          <w:rFonts w:ascii="Cambria" w:eastAsia="Cambria" w:hAnsi="Cambria" w:cs="Cambria"/>
          <w:sz w:val="20"/>
          <w:szCs w:val="20"/>
        </w:rPr>
      </w:pPr>
    </w:p>
    <w:p w:rsidR="003340CC" w:rsidRPr="003340CC" w:rsidRDefault="003340CC" w:rsidP="003340CC">
      <w:pPr>
        <w:tabs>
          <w:tab w:val="left" w:pos="567"/>
        </w:tabs>
        <w:spacing w:after="0"/>
        <w:jc w:val="both"/>
        <w:rPr>
          <w:rFonts w:ascii="Cambria" w:eastAsia="Cambria" w:hAnsi="Cambria" w:cs="Cambria"/>
          <w:b/>
          <w:bCs/>
          <w:sz w:val="20"/>
          <w:szCs w:val="20"/>
        </w:rPr>
      </w:pPr>
      <w:r w:rsidRPr="003340CC">
        <w:rPr>
          <w:rFonts w:ascii="Cambria" w:eastAsia="Cambria" w:hAnsi="Cambria" w:cs="Cambria"/>
          <w:b/>
          <w:bCs/>
          <w:sz w:val="20"/>
          <w:szCs w:val="20"/>
        </w:rPr>
        <w:t>Quality audits</w:t>
      </w:r>
    </w:p>
    <w:p w:rsidR="003340CC" w:rsidRPr="003340CC" w:rsidRDefault="003340CC" w:rsidP="003340CC">
      <w:pPr>
        <w:tabs>
          <w:tab w:val="left" w:pos="567"/>
        </w:tabs>
        <w:spacing w:after="0"/>
        <w:ind w:firstLine="284"/>
        <w:jc w:val="both"/>
        <w:rPr>
          <w:rFonts w:ascii="Cambria" w:eastAsia="Cambria" w:hAnsi="Cambria" w:cs="Cambria"/>
          <w:sz w:val="20"/>
          <w:szCs w:val="20"/>
        </w:rPr>
      </w:pPr>
      <w:r w:rsidRPr="003340CC">
        <w:rPr>
          <w:rFonts w:ascii="Cambria" w:eastAsia="Cambria" w:hAnsi="Cambria" w:cs="Cambria"/>
          <w:sz w:val="20"/>
          <w:szCs w:val="20"/>
        </w:rPr>
        <w:t xml:space="preserve">Initially DeAngelo (1981) described audit quality as the auditor's possibility to detect errors and report irregularities in the client's accounting system. Audit quality is the probability that the financial statements do not contain material misstatements (Hasanah &amp; Putri, 2018 ) The definition of audit quality itself has undergone many developments and debates. However, if it is related to agency theory, the most important factor of audit quality is the auditor's ability to detect, exclude errors, and reduce the level of inconsistency of accounting information between shareholders and management. According to the conceptual framework in financial reporting, the purpose of auditing financial reports is to provide information to one of the </w:t>
      </w:r>
      <w:r w:rsidRPr="003340CC">
        <w:rPr>
          <w:rFonts w:ascii="Cambria" w:eastAsia="Cambria" w:hAnsi="Cambria" w:cs="Cambria"/>
          <w:sz w:val="20"/>
          <w:szCs w:val="20"/>
        </w:rPr>
        <w:lastRenderedPageBreak/>
        <w:t>investors. So investors or holders here play an important role as supervisors and people who use audited financial reports.</w:t>
      </w:r>
    </w:p>
    <w:p w:rsidR="003340CC" w:rsidRPr="003340CC" w:rsidRDefault="003340CC" w:rsidP="003340CC">
      <w:pPr>
        <w:tabs>
          <w:tab w:val="left" w:pos="567"/>
        </w:tabs>
        <w:spacing w:after="0"/>
        <w:ind w:firstLine="284"/>
        <w:jc w:val="both"/>
        <w:rPr>
          <w:rFonts w:ascii="Cambria" w:eastAsia="Cambria" w:hAnsi="Cambria" w:cs="Cambria"/>
          <w:sz w:val="20"/>
          <w:szCs w:val="20"/>
        </w:rPr>
      </w:pPr>
      <w:r w:rsidRPr="003340CC">
        <w:rPr>
          <w:rFonts w:ascii="Cambria" w:eastAsia="Cambria" w:hAnsi="Cambria" w:cs="Cambria"/>
          <w:sz w:val="20"/>
          <w:szCs w:val="20"/>
        </w:rPr>
        <w:t>There are many methods of measuring audit quality. Alzeaideen &amp; Al- Rawash (2018) categorizes two ways, namely direct and indirect. The direct method includes financial reporting compliance with GAAP, quality control reviews, bankruptcy, desk reviews and SEC performance used as audit quality measures. Indirect methods include audit firm size, audit fee, client retention period, type of audit report, and auditor specialization. This study uses an indirect method by looking at the size of the audit office because there have been many studies that prove that KAP size improves audit quality.</w:t>
      </w:r>
    </w:p>
    <w:p w:rsidR="003340CC" w:rsidRPr="003340CC" w:rsidRDefault="003340CC" w:rsidP="003340CC">
      <w:pPr>
        <w:tabs>
          <w:tab w:val="left" w:pos="567"/>
        </w:tabs>
        <w:spacing w:after="0"/>
        <w:ind w:firstLine="284"/>
        <w:jc w:val="both"/>
        <w:rPr>
          <w:rFonts w:ascii="Cambria" w:eastAsia="Cambria" w:hAnsi="Cambria" w:cs="Cambria"/>
          <w:sz w:val="20"/>
          <w:szCs w:val="20"/>
        </w:rPr>
      </w:pPr>
    </w:p>
    <w:p w:rsidR="003340CC" w:rsidRPr="003340CC" w:rsidRDefault="003340CC" w:rsidP="003340CC">
      <w:pPr>
        <w:tabs>
          <w:tab w:val="left" w:pos="567"/>
        </w:tabs>
        <w:spacing w:after="0"/>
        <w:jc w:val="both"/>
        <w:rPr>
          <w:rFonts w:ascii="Cambria" w:eastAsia="Cambria" w:hAnsi="Cambria" w:cs="Cambria"/>
          <w:b/>
          <w:bCs/>
          <w:sz w:val="20"/>
          <w:szCs w:val="20"/>
        </w:rPr>
      </w:pPr>
      <w:r w:rsidRPr="003340CC">
        <w:rPr>
          <w:rFonts w:ascii="Cambria" w:eastAsia="Cambria" w:hAnsi="Cambria" w:cs="Cambria"/>
          <w:b/>
          <w:bCs/>
          <w:sz w:val="20"/>
          <w:szCs w:val="20"/>
        </w:rPr>
        <w:t>Effect of state ownership on audit quality</w:t>
      </w:r>
    </w:p>
    <w:p w:rsidR="003340CC" w:rsidRPr="003340CC" w:rsidRDefault="003340CC" w:rsidP="003340CC">
      <w:pPr>
        <w:tabs>
          <w:tab w:val="left" w:pos="567"/>
        </w:tabs>
        <w:spacing w:after="0"/>
        <w:ind w:firstLine="284"/>
        <w:jc w:val="both"/>
        <w:rPr>
          <w:rFonts w:ascii="Cambria" w:eastAsia="Cambria" w:hAnsi="Cambria" w:cs="Cambria"/>
          <w:sz w:val="20"/>
          <w:szCs w:val="20"/>
        </w:rPr>
      </w:pPr>
      <w:r w:rsidRPr="003340CC">
        <w:rPr>
          <w:rFonts w:ascii="Cambria" w:eastAsia="Cambria" w:hAnsi="Cambria" w:cs="Cambria"/>
          <w:sz w:val="20"/>
          <w:szCs w:val="20"/>
        </w:rPr>
        <w:t>According to Li et al. (2015) bureaucratically elected managers will protect the company's political prospects. The Chinese government is even willing to inject funds into government companies when financial difficulties occur (Hu and Zheng, 2015). Companies with state majority shareholders are more burdened with public responsibilities. The government is even willing to intervene in politics and administrative control to get companies out of trouble finance (Udin et al. 2017). Wei and Varela (2003) stated that state ownership can provide firms with more financial and resource support, which also makes it possible that the state will select quality audit firms.</w:t>
      </w:r>
    </w:p>
    <w:p w:rsidR="003340CC" w:rsidRPr="003340CC" w:rsidRDefault="003340CC" w:rsidP="003340CC">
      <w:pPr>
        <w:tabs>
          <w:tab w:val="left" w:pos="567"/>
        </w:tabs>
        <w:spacing w:after="0"/>
        <w:ind w:firstLine="284"/>
        <w:jc w:val="both"/>
        <w:rPr>
          <w:rFonts w:ascii="Cambria" w:eastAsia="Cambria" w:hAnsi="Cambria" w:cs="Cambria"/>
          <w:sz w:val="20"/>
          <w:szCs w:val="20"/>
        </w:rPr>
      </w:pPr>
      <w:r w:rsidRPr="003340CC">
        <w:rPr>
          <w:rFonts w:ascii="Cambria" w:eastAsia="Cambria" w:hAnsi="Cambria" w:cs="Cambria"/>
          <w:sz w:val="20"/>
          <w:szCs w:val="20"/>
        </w:rPr>
        <w:t>But there are still parties who have different opinions. Companies with majority state ownership have a significantly higher probability of receiving a net audit opinion (Liu, Wang, &amp; Wu, 2011). This indicates that audit quality is lower if state ownership is high because there is an element of manipulation of opinion results.</w:t>
      </w:r>
    </w:p>
    <w:p w:rsidR="003340CC" w:rsidRPr="003340CC" w:rsidRDefault="003340CC" w:rsidP="003340CC">
      <w:pPr>
        <w:tabs>
          <w:tab w:val="left" w:pos="567"/>
        </w:tabs>
        <w:spacing w:after="0"/>
        <w:ind w:firstLine="284"/>
        <w:jc w:val="both"/>
        <w:rPr>
          <w:rFonts w:ascii="Cambria" w:eastAsia="Cambria" w:hAnsi="Cambria" w:cs="Cambria"/>
          <w:sz w:val="20"/>
          <w:szCs w:val="20"/>
        </w:rPr>
      </w:pPr>
      <w:r w:rsidRPr="00E96EEC">
        <w:rPr>
          <w:rFonts w:ascii="Cambria" w:eastAsia="Cambria" w:hAnsi="Cambria" w:cs="Cambria"/>
          <w:b/>
          <w:bCs/>
          <w:sz w:val="20"/>
          <w:szCs w:val="20"/>
        </w:rPr>
        <w:t>H1</w:t>
      </w:r>
      <w:r w:rsidRPr="003340CC">
        <w:rPr>
          <w:rFonts w:ascii="Cambria" w:eastAsia="Cambria" w:hAnsi="Cambria" w:cs="Cambria"/>
          <w:sz w:val="20"/>
          <w:szCs w:val="20"/>
        </w:rPr>
        <w:t>: State ownership has a significant influence on audit quality</w:t>
      </w:r>
    </w:p>
    <w:p w:rsidR="003340CC" w:rsidRPr="003340CC" w:rsidRDefault="003340CC" w:rsidP="003340CC">
      <w:pPr>
        <w:tabs>
          <w:tab w:val="left" w:pos="567"/>
        </w:tabs>
        <w:spacing w:after="0"/>
        <w:ind w:firstLine="284"/>
        <w:jc w:val="both"/>
        <w:rPr>
          <w:rFonts w:ascii="Cambria" w:eastAsia="Cambria" w:hAnsi="Cambria" w:cs="Cambria"/>
          <w:sz w:val="20"/>
          <w:szCs w:val="20"/>
        </w:rPr>
      </w:pPr>
    </w:p>
    <w:p w:rsidR="003340CC" w:rsidRPr="003340CC" w:rsidRDefault="003340CC" w:rsidP="003340CC">
      <w:pPr>
        <w:tabs>
          <w:tab w:val="left" w:pos="567"/>
        </w:tabs>
        <w:spacing w:after="0"/>
        <w:jc w:val="both"/>
        <w:rPr>
          <w:rFonts w:ascii="Cambria" w:eastAsia="Cambria" w:hAnsi="Cambria" w:cs="Cambria"/>
          <w:b/>
          <w:bCs/>
          <w:sz w:val="20"/>
          <w:szCs w:val="20"/>
        </w:rPr>
      </w:pPr>
      <w:r w:rsidRPr="003340CC">
        <w:rPr>
          <w:rFonts w:ascii="Cambria" w:eastAsia="Cambria" w:hAnsi="Cambria" w:cs="Cambria"/>
          <w:b/>
          <w:bCs/>
          <w:sz w:val="20"/>
          <w:szCs w:val="20"/>
        </w:rPr>
        <w:t>Effect of ownership concentration on audit quality</w:t>
      </w:r>
    </w:p>
    <w:p w:rsidR="003340CC" w:rsidRPr="003340CC" w:rsidRDefault="003340CC" w:rsidP="003340CC">
      <w:pPr>
        <w:tabs>
          <w:tab w:val="left" w:pos="567"/>
        </w:tabs>
        <w:spacing w:after="0"/>
        <w:ind w:firstLine="284"/>
        <w:jc w:val="both"/>
        <w:rPr>
          <w:rFonts w:ascii="Cambria" w:eastAsia="Cambria" w:hAnsi="Cambria" w:cs="Cambria"/>
          <w:sz w:val="20"/>
          <w:szCs w:val="20"/>
        </w:rPr>
      </w:pPr>
      <w:r w:rsidRPr="003340CC">
        <w:rPr>
          <w:rFonts w:ascii="Cambria" w:eastAsia="Cambria" w:hAnsi="Cambria" w:cs="Cambria"/>
          <w:sz w:val="20"/>
          <w:szCs w:val="20"/>
        </w:rPr>
        <w:t>Shleifer &amp; Vishny (1997) stated that large institutional investors may have more incentives to oversee management effectively. This shows that high ownership concentration has a good effect on the company. Setia-Atmaja (2009) found that the concentration of ownership has a negative effect on the independence of the board of commissioners. Then research by Abdullah et al., (2008) shows that there is a significant positive relationship between board independence and audit quality. So it can be concluded that ownership concentration can improve audit quality.</w:t>
      </w:r>
    </w:p>
    <w:p w:rsidR="003340CC" w:rsidRPr="003340CC" w:rsidRDefault="003340CC" w:rsidP="003340CC">
      <w:pPr>
        <w:tabs>
          <w:tab w:val="left" w:pos="567"/>
        </w:tabs>
        <w:spacing w:after="0"/>
        <w:ind w:firstLine="284"/>
        <w:jc w:val="both"/>
        <w:rPr>
          <w:rFonts w:ascii="Cambria" w:eastAsia="Cambria" w:hAnsi="Cambria" w:cs="Cambria"/>
          <w:sz w:val="20"/>
          <w:szCs w:val="20"/>
        </w:rPr>
      </w:pPr>
      <w:r w:rsidRPr="003340CC">
        <w:rPr>
          <w:rFonts w:ascii="Cambria" w:eastAsia="Cambria" w:hAnsi="Cambria" w:cs="Cambria"/>
          <w:sz w:val="20"/>
          <w:szCs w:val="20"/>
        </w:rPr>
        <w:t>Chen et al., (2007) found the opposite result that ownership concentration will have a negative effect if the majority shares are owned by the family. Audit quality is indeed deteriorating and disrupted when the auditor faces a family-controlled client business. Dong and Zhang (2008) conducted research in China and the results support that audit quality will be lower if the concentration of ownership is high. It can be concluded that previous research stated that high concentration of ownership interferes with management and audit independence, thereby reducing audit quality. Based on the contradictions of the two opinions above, the researcher developed a hypothesis:</w:t>
      </w:r>
    </w:p>
    <w:p w:rsidR="003340CC" w:rsidRPr="003340CC" w:rsidRDefault="003340CC" w:rsidP="003340CC">
      <w:pPr>
        <w:tabs>
          <w:tab w:val="left" w:pos="567"/>
        </w:tabs>
        <w:spacing w:after="0"/>
        <w:ind w:firstLine="284"/>
        <w:jc w:val="both"/>
        <w:rPr>
          <w:rFonts w:ascii="Cambria" w:eastAsia="Cambria" w:hAnsi="Cambria" w:cs="Cambria"/>
          <w:sz w:val="20"/>
          <w:szCs w:val="20"/>
        </w:rPr>
      </w:pPr>
      <w:r w:rsidRPr="00E96EEC">
        <w:rPr>
          <w:rFonts w:ascii="Cambria" w:eastAsia="Cambria" w:hAnsi="Cambria" w:cs="Cambria"/>
          <w:b/>
          <w:bCs/>
          <w:sz w:val="20"/>
          <w:szCs w:val="20"/>
        </w:rPr>
        <w:t>H2</w:t>
      </w:r>
      <w:r w:rsidRPr="003340CC">
        <w:rPr>
          <w:rFonts w:ascii="Cambria" w:eastAsia="Cambria" w:hAnsi="Cambria" w:cs="Cambria"/>
          <w:sz w:val="20"/>
          <w:szCs w:val="20"/>
        </w:rPr>
        <w:t>: Ownership concentration has a significant effect on audit quality</w:t>
      </w:r>
    </w:p>
    <w:p w:rsidR="003340CC" w:rsidRPr="003340CC" w:rsidRDefault="003340CC" w:rsidP="003340CC">
      <w:pPr>
        <w:tabs>
          <w:tab w:val="left" w:pos="567"/>
        </w:tabs>
        <w:spacing w:after="0"/>
        <w:ind w:firstLine="284"/>
        <w:jc w:val="both"/>
        <w:rPr>
          <w:rFonts w:ascii="Cambria" w:eastAsia="Cambria" w:hAnsi="Cambria" w:cs="Cambria"/>
          <w:sz w:val="20"/>
          <w:szCs w:val="20"/>
        </w:rPr>
      </w:pPr>
    </w:p>
    <w:p w:rsidR="003340CC" w:rsidRPr="003340CC" w:rsidRDefault="003340CC" w:rsidP="003340CC">
      <w:pPr>
        <w:tabs>
          <w:tab w:val="left" w:pos="567"/>
        </w:tabs>
        <w:spacing w:after="0"/>
        <w:jc w:val="both"/>
        <w:rPr>
          <w:rFonts w:ascii="Cambria" w:eastAsia="Cambria" w:hAnsi="Cambria" w:cs="Cambria"/>
          <w:b/>
          <w:bCs/>
          <w:sz w:val="20"/>
          <w:szCs w:val="20"/>
        </w:rPr>
      </w:pPr>
      <w:r w:rsidRPr="003340CC">
        <w:rPr>
          <w:rFonts w:ascii="Cambria" w:eastAsia="Cambria" w:hAnsi="Cambria" w:cs="Cambria"/>
          <w:b/>
          <w:bCs/>
          <w:sz w:val="20"/>
          <w:szCs w:val="20"/>
        </w:rPr>
        <w:t>The effect of blockholder ownership on financial distress</w:t>
      </w:r>
    </w:p>
    <w:p w:rsidR="003340CC" w:rsidRPr="003340CC" w:rsidRDefault="003340CC" w:rsidP="003340CC">
      <w:pPr>
        <w:tabs>
          <w:tab w:val="left" w:pos="567"/>
        </w:tabs>
        <w:spacing w:after="0"/>
        <w:ind w:firstLine="284"/>
        <w:jc w:val="both"/>
        <w:rPr>
          <w:rFonts w:ascii="Cambria" w:eastAsia="Cambria" w:hAnsi="Cambria" w:cs="Cambria"/>
          <w:sz w:val="20"/>
          <w:szCs w:val="20"/>
        </w:rPr>
      </w:pPr>
      <w:r w:rsidRPr="003340CC">
        <w:rPr>
          <w:rFonts w:ascii="Cambria" w:eastAsia="Cambria" w:hAnsi="Cambria" w:cs="Cambria"/>
          <w:sz w:val="20"/>
          <w:szCs w:val="20"/>
        </w:rPr>
        <w:t>Researchers try to strengthen the research results by using two approaches to measurement of ownership concentration. The first measurement of ownership concentration is the accumulation of shares from the 10 highest shareholders. While the second measurement alternative is the accumulation of share ownership above 5%. The next second measurement alternative will be referred to as blockholder ownership.</w:t>
      </w:r>
    </w:p>
    <w:p w:rsidR="003340CC" w:rsidRPr="003340CC" w:rsidRDefault="003340CC" w:rsidP="003340CC">
      <w:pPr>
        <w:tabs>
          <w:tab w:val="left" w:pos="567"/>
        </w:tabs>
        <w:spacing w:after="0"/>
        <w:jc w:val="both"/>
        <w:rPr>
          <w:rFonts w:ascii="Cambria" w:eastAsia="Cambria" w:hAnsi="Cambria" w:cs="Cambria"/>
          <w:sz w:val="20"/>
          <w:szCs w:val="20"/>
        </w:rPr>
      </w:pPr>
      <w:r w:rsidRPr="00E96EEC">
        <w:rPr>
          <w:rFonts w:ascii="Cambria" w:eastAsia="Cambria" w:hAnsi="Cambria" w:cs="Cambria"/>
          <w:b/>
          <w:bCs/>
          <w:sz w:val="20"/>
          <w:szCs w:val="20"/>
        </w:rPr>
        <w:t>H3</w:t>
      </w:r>
      <w:r w:rsidRPr="003340CC">
        <w:rPr>
          <w:rFonts w:ascii="Cambria" w:eastAsia="Cambria" w:hAnsi="Cambria" w:cs="Cambria"/>
          <w:sz w:val="20"/>
          <w:szCs w:val="20"/>
        </w:rPr>
        <w:t>: Blockholder ownership has a significant influence on audit quality</w:t>
      </w:r>
    </w:p>
    <w:p w:rsidR="0094578E" w:rsidRDefault="0094578E">
      <w:pPr>
        <w:tabs>
          <w:tab w:val="left" w:pos="567"/>
        </w:tabs>
        <w:spacing w:after="0"/>
        <w:jc w:val="both"/>
        <w:rPr>
          <w:rFonts w:ascii="Cambria" w:eastAsia="Cambria" w:hAnsi="Cambria" w:cs="Cambria"/>
          <w:sz w:val="20"/>
          <w:szCs w:val="20"/>
        </w:rPr>
      </w:pPr>
    </w:p>
    <w:p w:rsidR="0094578E" w:rsidRPr="003340CC" w:rsidRDefault="00000000" w:rsidP="003340CC">
      <w:pPr>
        <w:numPr>
          <w:ilvl w:val="0"/>
          <w:numId w:val="1"/>
        </w:numPr>
        <w:pBdr>
          <w:top w:val="nil"/>
          <w:left w:val="nil"/>
          <w:bottom w:val="nil"/>
          <w:right w:val="nil"/>
          <w:between w:val="nil"/>
        </w:pBdr>
        <w:tabs>
          <w:tab w:val="left" w:pos="567"/>
        </w:tabs>
        <w:spacing w:after="0"/>
        <w:ind w:hanging="720"/>
        <w:jc w:val="both"/>
        <w:rPr>
          <w:rFonts w:ascii="Cambria" w:eastAsia="Cambria" w:hAnsi="Cambria" w:cs="Cambria"/>
          <w:b/>
          <w:color w:val="000000"/>
          <w:sz w:val="20"/>
          <w:szCs w:val="20"/>
        </w:rPr>
      </w:pPr>
      <w:r>
        <w:rPr>
          <w:rFonts w:ascii="Cambria" w:eastAsia="Cambria" w:hAnsi="Cambria" w:cs="Cambria"/>
          <w:b/>
          <w:color w:val="000000"/>
        </w:rPr>
        <w:t>METHOD</w:t>
      </w:r>
      <w:r>
        <w:rPr>
          <w:rFonts w:ascii="Cambria" w:eastAsia="Cambria" w:hAnsi="Cambria" w:cs="Cambria"/>
          <w:b/>
          <w:color w:val="000000"/>
          <w:sz w:val="20"/>
          <w:szCs w:val="20"/>
        </w:rPr>
        <w:t xml:space="preserve"> </w:t>
      </w:r>
    </w:p>
    <w:p w:rsidR="003340CC" w:rsidRPr="004D23F5" w:rsidRDefault="003340CC" w:rsidP="004D23F5">
      <w:pPr>
        <w:tabs>
          <w:tab w:val="left" w:pos="480"/>
          <w:tab w:val="left" w:pos="567"/>
        </w:tabs>
        <w:spacing w:after="0" w:line="240" w:lineRule="auto"/>
        <w:jc w:val="both"/>
        <w:rPr>
          <w:rFonts w:ascii="Cambria" w:eastAsia="Cambria" w:hAnsi="Cambria" w:cs="Cambria"/>
          <w:b/>
          <w:bCs/>
          <w:sz w:val="20"/>
          <w:szCs w:val="20"/>
        </w:rPr>
      </w:pPr>
      <w:r w:rsidRPr="004D23F5">
        <w:rPr>
          <w:rFonts w:ascii="Cambria" w:eastAsia="Cambria" w:hAnsi="Cambria" w:cs="Cambria"/>
          <w:b/>
          <w:bCs/>
          <w:sz w:val="20"/>
          <w:szCs w:val="20"/>
        </w:rPr>
        <w:t>Population and Research Sample</w:t>
      </w:r>
    </w:p>
    <w:p w:rsidR="003340CC" w:rsidRPr="003340CC" w:rsidRDefault="003340CC" w:rsidP="003340CC">
      <w:pPr>
        <w:tabs>
          <w:tab w:val="left" w:pos="567"/>
        </w:tabs>
        <w:spacing w:after="0" w:line="240" w:lineRule="auto"/>
        <w:jc w:val="both"/>
        <w:rPr>
          <w:rFonts w:ascii="Cambria" w:eastAsia="Cambria" w:hAnsi="Cambria" w:cs="Cambria"/>
          <w:sz w:val="20"/>
          <w:szCs w:val="20"/>
        </w:rPr>
      </w:pPr>
      <w:r w:rsidRPr="003340CC">
        <w:rPr>
          <w:rFonts w:ascii="Cambria" w:eastAsia="Cambria" w:hAnsi="Cambria" w:cs="Cambria"/>
          <w:sz w:val="20"/>
          <w:szCs w:val="20"/>
        </w:rPr>
        <w:t>Researchers used a purposive sample. The research population is banks listed on the Indonesia Stock Exchange (IDX) during 2010-2018.</w:t>
      </w:r>
    </w:p>
    <w:p w:rsidR="003340CC" w:rsidRPr="003340CC" w:rsidRDefault="003340CC" w:rsidP="003340CC">
      <w:pPr>
        <w:tabs>
          <w:tab w:val="left" w:pos="567"/>
        </w:tabs>
        <w:spacing w:after="0" w:line="240" w:lineRule="auto"/>
        <w:jc w:val="center"/>
        <w:rPr>
          <w:rFonts w:ascii="Cambria" w:eastAsia="Cambria" w:hAnsi="Cambria" w:cs="Cambria"/>
          <w:sz w:val="20"/>
          <w:szCs w:val="20"/>
        </w:rPr>
      </w:pPr>
      <w:r w:rsidRPr="003340CC">
        <w:rPr>
          <w:rFonts w:ascii="Cambria" w:eastAsia="Cambria" w:hAnsi="Cambria" w:cs="Cambria"/>
          <w:sz w:val="20"/>
          <w:szCs w:val="20"/>
        </w:rPr>
        <w:lastRenderedPageBreak/>
        <w:t>Table 1</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3144"/>
        <w:gridCol w:w="653"/>
        <w:gridCol w:w="653"/>
        <w:gridCol w:w="653"/>
        <w:gridCol w:w="654"/>
        <w:gridCol w:w="654"/>
        <w:gridCol w:w="654"/>
        <w:gridCol w:w="654"/>
        <w:gridCol w:w="654"/>
        <w:gridCol w:w="654"/>
      </w:tblGrid>
      <w:tr w:rsidR="003340CC" w:rsidRPr="004D23F5" w:rsidTr="004D23F5">
        <w:tc>
          <w:tcPr>
            <w:tcW w:w="1742" w:type="pct"/>
            <w:vAlign w:val="center"/>
          </w:tcPr>
          <w:p w:rsidR="003340CC" w:rsidRPr="004D23F5" w:rsidRDefault="003340CC" w:rsidP="005B6F52">
            <w:pPr>
              <w:rPr>
                <w:rFonts w:ascii="Cambria" w:hAnsi="Cambria" w:cstheme="minorHAnsi"/>
                <w:b/>
                <w:bCs/>
                <w:color w:val="000000" w:themeColor="text1"/>
                <w:sz w:val="18"/>
                <w:szCs w:val="18"/>
              </w:rPr>
            </w:pPr>
            <w:bookmarkStart w:id="1" w:name="_Toc23514775"/>
            <w:r w:rsidRPr="004D23F5">
              <w:rPr>
                <w:rFonts w:ascii="Cambria" w:hAnsi="Cambria" w:cstheme="minorHAnsi"/>
                <w:b/>
                <w:bCs/>
                <w:color w:val="000000" w:themeColor="text1"/>
                <w:sz w:val="18"/>
                <w:szCs w:val="18"/>
              </w:rPr>
              <w:t>Criteria</w:t>
            </w:r>
            <w:bookmarkEnd w:id="1"/>
          </w:p>
        </w:tc>
        <w:tc>
          <w:tcPr>
            <w:tcW w:w="362" w:type="pct"/>
            <w:vAlign w:val="center"/>
          </w:tcPr>
          <w:p w:rsidR="003340CC" w:rsidRPr="004D23F5" w:rsidRDefault="003340CC" w:rsidP="005B6F52">
            <w:pPr>
              <w:jc w:val="center"/>
              <w:rPr>
                <w:rFonts w:ascii="Cambria" w:hAnsi="Cambria" w:cstheme="minorHAnsi"/>
                <w:b/>
                <w:bCs/>
                <w:color w:val="000000" w:themeColor="text1"/>
                <w:sz w:val="18"/>
                <w:szCs w:val="18"/>
              </w:rPr>
            </w:pPr>
            <w:bookmarkStart w:id="2" w:name="_Toc23514776"/>
            <w:r w:rsidRPr="004D23F5">
              <w:rPr>
                <w:rFonts w:ascii="Cambria" w:hAnsi="Cambria" w:cstheme="minorHAnsi"/>
                <w:b/>
                <w:bCs/>
                <w:color w:val="000000" w:themeColor="text1"/>
                <w:sz w:val="18"/>
                <w:szCs w:val="18"/>
              </w:rPr>
              <w:t>2010</w:t>
            </w:r>
            <w:bookmarkEnd w:id="2"/>
          </w:p>
        </w:tc>
        <w:tc>
          <w:tcPr>
            <w:tcW w:w="362" w:type="pct"/>
            <w:vAlign w:val="center"/>
          </w:tcPr>
          <w:p w:rsidR="003340CC" w:rsidRPr="004D23F5" w:rsidRDefault="003340CC" w:rsidP="005B6F52">
            <w:pPr>
              <w:jc w:val="center"/>
              <w:rPr>
                <w:rFonts w:ascii="Cambria" w:hAnsi="Cambria" w:cstheme="minorHAnsi"/>
                <w:b/>
                <w:bCs/>
                <w:color w:val="000000" w:themeColor="text1"/>
                <w:sz w:val="18"/>
                <w:szCs w:val="18"/>
              </w:rPr>
            </w:pPr>
            <w:bookmarkStart w:id="3" w:name="_Toc23514777"/>
            <w:r w:rsidRPr="004D23F5">
              <w:rPr>
                <w:rFonts w:ascii="Cambria" w:hAnsi="Cambria" w:cstheme="minorHAnsi"/>
                <w:b/>
                <w:bCs/>
                <w:color w:val="000000" w:themeColor="text1"/>
                <w:sz w:val="18"/>
                <w:szCs w:val="18"/>
              </w:rPr>
              <w:t>2011</w:t>
            </w:r>
            <w:bookmarkEnd w:id="3"/>
          </w:p>
        </w:tc>
        <w:tc>
          <w:tcPr>
            <w:tcW w:w="362" w:type="pct"/>
            <w:vAlign w:val="center"/>
          </w:tcPr>
          <w:p w:rsidR="003340CC" w:rsidRPr="004D23F5" w:rsidRDefault="003340CC" w:rsidP="005B6F52">
            <w:pPr>
              <w:jc w:val="center"/>
              <w:rPr>
                <w:rFonts w:ascii="Cambria" w:hAnsi="Cambria" w:cstheme="minorHAnsi"/>
                <w:b/>
                <w:bCs/>
                <w:color w:val="000000" w:themeColor="text1"/>
                <w:sz w:val="18"/>
                <w:szCs w:val="18"/>
              </w:rPr>
            </w:pPr>
            <w:bookmarkStart w:id="4" w:name="_Toc23514778"/>
            <w:r w:rsidRPr="004D23F5">
              <w:rPr>
                <w:rFonts w:ascii="Cambria" w:hAnsi="Cambria" w:cstheme="minorHAnsi"/>
                <w:b/>
                <w:bCs/>
                <w:color w:val="000000" w:themeColor="text1"/>
                <w:sz w:val="18"/>
                <w:szCs w:val="18"/>
              </w:rPr>
              <w:t>2012</w:t>
            </w:r>
            <w:bookmarkEnd w:id="4"/>
          </w:p>
        </w:tc>
        <w:tc>
          <w:tcPr>
            <w:tcW w:w="362" w:type="pct"/>
            <w:vAlign w:val="center"/>
          </w:tcPr>
          <w:p w:rsidR="003340CC" w:rsidRPr="004D23F5" w:rsidRDefault="003340CC" w:rsidP="005B6F52">
            <w:pPr>
              <w:jc w:val="center"/>
              <w:rPr>
                <w:rFonts w:ascii="Cambria" w:hAnsi="Cambria" w:cstheme="minorHAnsi"/>
                <w:b/>
                <w:bCs/>
                <w:color w:val="000000" w:themeColor="text1"/>
                <w:sz w:val="18"/>
                <w:szCs w:val="18"/>
              </w:rPr>
            </w:pPr>
            <w:bookmarkStart w:id="5" w:name="_Toc23514779"/>
            <w:r w:rsidRPr="004D23F5">
              <w:rPr>
                <w:rFonts w:ascii="Cambria" w:hAnsi="Cambria" w:cstheme="minorHAnsi"/>
                <w:b/>
                <w:bCs/>
                <w:color w:val="000000" w:themeColor="text1"/>
                <w:sz w:val="18"/>
                <w:szCs w:val="18"/>
              </w:rPr>
              <w:t>2013</w:t>
            </w:r>
            <w:bookmarkEnd w:id="5"/>
          </w:p>
        </w:tc>
        <w:tc>
          <w:tcPr>
            <w:tcW w:w="362" w:type="pct"/>
            <w:vAlign w:val="center"/>
          </w:tcPr>
          <w:p w:rsidR="003340CC" w:rsidRPr="004D23F5" w:rsidRDefault="003340CC" w:rsidP="005B6F52">
            <w:pPr>
              <w:jc w:val="center"/>
              <w:rPr>
                <w:rFonts w:ascii="Cambria" w:hAnsi="Cambria" w:cstheme="minorHAnsi"/>
                <w:b/>
                <w:bCs/>
                <w:color w:val="000000" w:themeColor="text1"/>
                <w:sz w:val="18"/>
                <w:szCs w:val="18"/>
              </w:rPr>
            </w:pPr>
            <w:bookmarkStart w:id="6" w:name="_Toc23514780"/>
            <w:r w:rsidRPr="004D23F5">
              <w:rPr>
                <w:rFonts w:ascii="Cambria" w:hAnsi="Cambria" w:cstheme="minorHAnsi"/>
                <w:b/>
                <w:bCs/>
                <w:color w:val="000000" w:themeColor="text1"/>
                <w:sz w:val="18"/>
                <w:szCs w:val="18"/>
              </w:rPr>
              <w:t>2014</w:t>
            </w:r>
            <w:bookmarkEnd w:id="6"/>
          </w:p>
        </w:tc>
        <w:tc>
          <w:tcPr>
            <w:tcW w:w="362" w:type="pct"/>
            <w:vAlign w:val="center"/>
          </w:tcPr>
          <w:p w:rsidR="003340CC" w:rsidRPr="004D23F5" w:rsidRDefault="003340CC" w:rsidP="005B6F52">
            <w:pPr>
              <w:jc w:val="center"/>
              <w:rPr>
                <w:rFonts w:ascii="Cambria" w:hAnsi="Cambria" w:cstheme="minorHAnsi"/>
                <w:b/>
                <w:bCs/>
                <w:color w:val="000000" w:themeColor="text1"/>
                <w:sz w:val="18"/>
                <w:szCs w:val="18"/>
              </w:rPr>
            </w:pPr>
            <w:bookmarkStart w:id="7" w:name="_Toc23514781"/>
            <w:r w:rsidRPr="004D23F5">
              <w:rPr>
                <w:rFonts w:ascii="Cambria" w:hAnsi="Cambria" w:cstheme="minorHAnsi"/>
                <w:b/>
                <w:bCs/>
                <w:color w:val="000000" w:themeColor="text1"/>
                <w:sz w:val="18"/>
                <w:szCs w:val="18"/>
              </w:rPr>
              <w:t>2015</w:t>
            </w:r>
            <w:bookmarkEnd w:id="7"/>
          </w:p>
        </w:tc>
        <w:tc>
          <w:tcPr>
            <w:tcW w:w="362" w:type="pct"/>
            <w:vAlign w:val="center"/>
          </w:tcPr>
          <w:p w:rsidR="003340CC" w:rsidRPr="004D23F5" w:rsidRDefault="003340CC" w:rsidP="005B6F52">
            <w:pPr>
              <w:jc w:val="center"/>
              <w:rPr>
                <w:rFonts w:ascii="Cambria" w:hAnsi="Cambria" w:cstheme="minorHAnsi"/>
                <w:b/>
                <w:bCs/>
                <w:color w:val="000000" w:themeColor="text1"/>
                <w:sz w:val="18"/>
                <w:szCs w:val="18"/>
              </w:rPr>
            </w:pPr>
            <w:bookmarkStart w:id="8" w:name="_Toc23514782"/>
            <w:r w:rsidRPr="004D23F5">
              <w:rPr>
                <w:rFonts w:ascii="Cambria" w:hAnsi="Cambria" w:cstheme="minorHAnsi"/>
                <w:b/>
                <w:bCs/>
                <w:color w:val="000000" w:themeColor="text1"/>
                <w:sz w:val="18"/>
                <w:szCs w:val="18"/>
              </w:rPr>
              <w:t>2016</w:t>
            </w:r>
            <w:bookmarkEnd w:id="8"/>
          </w:p>
        </w:tc>
        <w:tc>
          <w:tcPr>
            <w:tcW w:w="362" w:type="pct"/>
            <w:vAlign w:val="center"/>
          </w:tcPr>
          <w:p w:rsidR="003340CC" w:rsidRPr="004D23F5" w:rsidRDefault="003340CC" w:rsidP="005B6F52">
            <w:pPr>
              <w:jc w:val="center"/>
              <w:rPr>
                <w:rFonts w:ascii="Cambria" w:hAnsi="Cambria" w:cstheme="minorHAnsi"/>
                <w:b/>
                <w:bCs/>
                <w:color w:val="000000" w:themeColor="text1"/>
                <w:sz w:val="18"/>
                <w:szCs w:val="18"/>
              </w:rPr>
            </w:pPr>
            <w:bookmarkStart w:id="9" w:name="_Toc23514783"/>
            <w:r w:rsidRPr="004D23F5">
              <w:rPr>
                <w:rFonts w:ascii="Cambria" w:hAnsi="Cambria" w:cstheme="minorHAnsi"/>
                <w:b/>
                <w:bCs/>
                <w:color w:val="000000" w:themeColor="text1"/>
                <w:sz w:val="18"/>
                <w:szCs w:val="18"/>
              </w:rPr>
              <w:t>2017</w:t>
            </w:r>
            <w:bookmarkEnd w:id="9"/>
          </w:p>
        </w:tc>
        <w:tc>
          <w:tcPr>
            <w:tcW w:w="362" w:type="pct"/>
            <w:vAlign w:val="center"/>
          </w:tcPr>
          <w:p w:rsidR="003340CC" w:rsidRPr="004D23F5" w:rsidRDefault="003340CC" w:rsidP="005B6F52">
            <w:pPr>
              <w:jc w:val="center"/>
              <w:rPr>
                <w:rFonts w:ascii="Cambria" w:hAnsi="Cambria" w:cstheme="minorHAnsi"/>
                <w:b/>
                <w:bCs/>
                <w:color w:val="000000" w:themeColor="text1"/>
                <w:sz w:val="18"/>
                <w:szCs w:val="18"/>
              </w:rPr>
            </w:pPr>
            <w:bookmarkStart w:id="10" w:name="_Toc23514784"/>
            <w:r w:rsidRPr="004D23F5">
              <w:rPr>
                <w:rFonts w:ascii="Cambria" w:hAnsi="Cambria" w:cstheme="minorHAnsi"/>
                <w:b/>
                <w:bCs/>
                <w:color w:val="000000" w:themeColor="text1"/>
                <w:sz w:val="18"/>
                <w:szCs w:val="18"/>
              </w:rPr>
              <w:t>2018</w:t>
            </w:r>
            <w:bookmarkEnd w:id="10"/>
          </w:p>
        </w:tc>
      </w:tr>
      <w:tr w:rsidR="003340CC" w:rsidRPr="004D23F5" w:rsidTr="004D23F5">
        <w:tc>
          <w:tcPr>
            <w:tcW w:w="1742" w:type="pct"/>
            <w:vAlign w:val="center"/>
          </w:tcPr>
          <w:p w:rsidR="003340CC" w:rsidRPr="004D23F5" w:rsidRDefault="003340CC" w:rsidP="005B6F52">
            <w:pPr>
              <w:rPr>
                <w:rFonts w:ascii="Cambria" w:hAnsi="Cambria" w:cstheme="minorHAnsi"/>
                <w:color w:val="000000" w:themeColor="text1"/>
                <w:sz w:val="18"/>
                <w:szCs w:val="18"/>
              </w:rPr>
            </w:pPr>
            <w:bookmarkStart w:id="11" w:name="_Toc23514785"/>
            <w:r w:rsidRPr="004D23F5">
              <w:rPr>
                <w:rFonts w:ascii="Cambria" w:hAnsi="Cambria" w:cstheme="minorHAnsi"/>
                <w:color w:val="000000" w:themeColor="text1"/>
                <w:sz w:val="18"/>
                <w:szCs w:val="18"/>
              </w:rPr>
              <w:t>Number of Banks</w:t>
            </w:r>
            <w:bookmarkEnd w:id="11"/>
          </w:p>
        </w:tc>
        <w:tc>
          <w:tcPr>
            <w:tcW w:w="362" w:type="pct"/>
            <w:vAlign w:val="center"/>
          </w:tcPr>
          <w:p w:rsidR="003340CC" w:rsidRPr="004D23F5" w:rsidRDefault="003340CC" w:rsidP="005B6F52">
            <w:pPr>
              <w:jc w:val="center"/>
              <w:rPr>
                <w:rFonts w:ascii="Cambria" w:hAnsi="Cambria" w:cstheme="minorHAnsi"/>
                <w:color w:val="000000" w:themeColor="text1"/>
                <w:sz w:val="18"/>
                <w:szCs w:val="18"/>
              </w:rPr>
            </w:pPr>
            <w:bookmarkStart w:id="12" w:name="_Toc23514786"/>
            <w:r w:rsidRPr="004D23F5">
              <w:rPr>
                <w:rFonts w:ascii="Cambria" w:hAnsi="Cambria" w:cstheme="minorHAnsi"/>
                <w:color w:val="000000" w:themeColor="text1"/>
                <w:sz w:val="18"/>
                <w:szCs w:val="18"/>
              </w:rPr>
              <w:t>45</w:t>
            </w:r>
            <w:bookmarkEnd w:id="12"/>
          </w:p>
        </w:tc>
        <w:tc>
          <w:tcPr>
            <w:tcW w:w="362" w:type="pct"/>
            <w:vAlign w:val="center"/>
          </w:tcPr>
          <w:p w:rsidR="003340CC" w:rsidRPr="004D23F5" w:rsidRDefault="003340CC" w:rsidP="005B6F52">
            <w:pPr>
              <w:jc w:val="center"/>
              <w:rPr>
                <w:rFonts w:ascii="Cambria" w:hAnsi="Cambria" w:cstheme="minorHAnsi"/>
                <w:color w:val="000000" w:themeColor="text1"/>
                <w:sz w:val="18"/>
                <w:szCs w:val="18"/>
              </w:rPr>
            </w:pPr>
            <w:bookmarkStart w:id="13" w:name="_Toc23514787"/>
            <w:r w:rsidRPr="004D23F5">
              <w:rPr>
                <w:rFonts w:ascii="Cambria" w:hAnsi="Cambria" w:cstheme="minorHAnsi"/>
                <w:color w:val="000000" w:themeColor="text1"/>
                <w:sz w:val="18"/>
                <w:szCs w:val="18"/>
              </w:rPr>
              <w:t>45</w:t>
            </w:r>
            <w:bookmarkEnd w:id="13"/>
          </w:p>
        </w:tc>
        <w:tc>
          <w:tcPr>
            <w:tcW w:w="362" w:type="pct"/>
            <w:vAlign w:val="center"/>
          </w:tcPr>
          <w:p w:rsidR="003340CC" w:rsidRPr="004D23F5" w:rsidRDefault="003340CC" w:rsidP="005B6F52">
            <w:pPr>
              <w:jc w:val="center"/>
              <w:rPr>
                <w:rFonts w:ascii="Cambria" w:hAnsi="Cambria" w:cstheme="minorHAnsi"/>
                <w:color w:val="000000" w:themeColor="text1"/>
                <w:sz w:val="18"/>
                <w:szCs w:val="18"/>
              </w:rPr>
            </w:pPr>
            <w:bookmarkStart w:id="14" w:name="_Toc23514788"/>
            <w:r w:rsidRPr="004D23F5">
              <w:rPr>
                <w:rFonts w:ascii="Cambria" w:hAnsi="Cambria" w:cstheme="minorHAnsi"/>
                <w:color w:val="000000" w:themeColor="text1"/>
                <w:sz w:val="18"/>
                <w:szCs w:val="18"/>
              </w:rPr>
              <w:t>45</w:t>
            </w:r>
            <w:bookmarkEnd w:id="14"/>
          </w:p>
        </w:tc>
        <w:tc>
          <w:tcPr>
            <w:tcW w:w="362" w:type="pct"/>
            <w:vAlign w:val="center"/>
          </w:tcPr>
          <w:p w:rsidR="003340CC" w:rsidRPr="004D23F5" w:rsidRDefault="003340CC" w:rsidP="005B6F52">
            <w:pPr>
              <w:jc w:val="center"/>
              <w:rPr>
                <w:rFonts w:ascii="Cambria" w:hAnsi="Cambria" w:cstheme="minorHAnsi"/>
                <w:color w:val="000000" w:themeColor="text1"/>
                <w:sz w:val="18"/>
                <w:szCs w:val="18"/>
              </w:rPr>
            </w:pPr>
            <w:bookmarkStart w:id="15" w:name="_Toc23514789"/>
            <w:r w:rsidRPr="004D23F5">
              <w:rPr>
                <w:rFonts w:ascii="Cambria" w:hAnsi="Cambria" w:cstheme="minorHAnsi"/>
                <w:color w:val="000000" w:themeColor="text1"/>
                <w:sz w:val="18"/>
                <w:szCs w:val="18"/>
              </w:rPr>
              <w:t>45</w:t>
            </w:r>
            <w:bookmarkEnd w:id="15"/>
          </w:p>
        </w:tc>
        <w:tc>
          <w:tcPr>
            <w:tcW w:w="362" w:type="pct"/>
            <w:vAlign w:val="center"/>
          </w:tcPr>
          <w:p w:rsidR="003340CC" w:rsidRPr="004D23F5" w:rsidRDefault="003340CC" w:rsidP="005B6F52">
            <w:pPr>
              <w:jc w:val="center"/>
              <w:rPr>
                <w:rFonts w:ascii="Cambria" w:hAnsi="Cambria" w:cstheme="minorHAnsi"/>
                <w:color w:val="000000" w:themeColor="text1"/>
                <w:sz w:val="18"/>
                <w:szCs w:val="18"/>
              </w:rPr>
            </w:pPr>
            <w:bookmarkStart w:id="16" w:name="_Toc23514790"/>
            <w:r w:rsidRPr="004D23F5">
              <w:rPr>
                <w:rFonts w:ascii="Cambria" w:hAnsi="Cambria" w:cstheme="minorHAnsi"/>
                <w:color w:val="000000" w:themeColor="text1"/>
                <w:sz w:val="18"/>
                <w:szCs w:val="18"/>
              </w:rPr>
              <w:t>46</w:t>
            </w:r>
            <w:bookmarkEnd w:id="16"/>
          </w:p>
        </w:tc>
        <w:tc>
          <w:tcPr>
            <w:tcW w:w="362" w:type="pct"/>
            <w:vAlign w:val="center"/>
          </w:tcPr>
          <w:p w:rsidR="003340CC" w:rsidRPr="004D23F5" w:rsidRDefault="003340CC" w:rsidP="005B6F52">
            <w:pPr>
              <w:jc w:val="center"/>
              <w:rPr>
                <w:rFonts w:ascii="Cambria" w:hAnsi="Cambria" w:cstheme="minorHAnsi"/>
                <w:color w:val="000000" w:themeColor="text1"/>
                <w:sz w:val="18"/>
                <w:szCs w:val="18"/>
              </w:rPr>
            </w:pPr>
            <w:bookmarkStart w:id="17" w:name="_Toc23514791"/>
            <w:r w:rsidRPr="004D23F5">
              <w:rPr>
                <w:rFonts w:ascii="Cambria" w:hAnsi="Cambria" w:cstheme="minorHAnsi"/>
                <w:color w:val="000000" w:themeColor="text1"/>
                <w:sz w:val="18"/>
                <w:szCs w:val="18"/>
              </w:rPr>
              <w:t>45</w:t>
            </w:r>
            <w:bookmarkEnd w:id="17"/>
          </w:p>
        </w:tc>
        <w:tc>
          <w:tcPr>
            <w:tcW w:w="362" w:type="pct"/>
            <w:vAlign w:val="center"/>
          </w:tcPr>
          <w:p w:rsidR="003340CC" w:rsidRPr="004D23F5" w:rsidRDefault="003340CC" w:rsidP="005B6F52">
            <w:pPr>
              <w:jc w:val="center"/>
              <w:rPr>
                <w:rFonts w:ascii="Cambria" w:hAnsi="Cambria" w:cstheme="minorHAnsi"/>
                <w:color w:val="000000" w:themeColor="text1"/>
                <w:sz w:val="18"/>
                <w:szCs w:val="18"/>
              </w:rPr>
            </w:pPr>
            <w:bookmarkStart w:id="18" w:name="_Toc23514792"/>
            <w:r w:rsidRPr="004D23F5">
              <w:rPr>
                <w:rFonts w:ascii="Cambria" w:hAnsi="Cambria" w:cstheme="minorHAnsi"/>
                <w:color w:val="000000" w:themeColor="text1"/>
                <w:sz w:val="18"/>
                <w:szCs w:val="18"/>
              </w:rPr>
              <w:t>45</w:t>
            </w:r>
            <w:bookmarkEnd w:id="18"/>
          </w:p>
        </w:tc>
        <w:tc>
          <w:tcPr>
            <w:tcW w:w="362" w:type="pct"/>
            <w:vAlign w:val="center"/>
          </w:tcPr>
          <w:p w:rsidR="003340CC" w:rsidRPr="004D23F5" w:rsidRDefault="003340CC" w:rsidP="005B6F52">
            <w:pPr>
              <w:jc w:val="center"/>
              <w:rPr>
                <w:rFonts w:ascii="Cambria" w:hAnsi="Cambria" w:cstheme="minorHAnsi"/>
                <w:color w:val="000000" w:themeColor="text1"/>
                <w:sz w:val="18"/>
                <w:szCs w:val="18"/>
              </w:rPr>
            </w:pPr>
            <w:bookmarkStart w:id="19" w:name="_Toc23514793"/>
            <w:r w:rsidRPr="004D23F5">
              <w:rPr>
                <w:rFonts w:ascii="Cambria" w:hAnsi="Cambria" w:cstheme="minorHAnsi"/>
                <w:color w:val="000000" w:themeColor="text1"/>
                <w:sz w:val="18"/>
                <w:szCs w:val="18"/>
              </w:rPr>
              <w:t>45</w:t>
            </w:r>
            <w:bookmarkEnd w:id="19"/>
          </w:p>
        </w:tc>
        <w:tc>
          <w:tcPr>
            <w:tcW w:w="362" w:type="pct"/>
            <w:vAlign w:val="center"/>
          </w:tcPr>
          <w:p w:rsidR="003340CC" w:rsidRPr="004D23F5" w:rsidRDefault="003340CC" w:rsidP="005B6F52">
            <w:pPr>
              <w:jc w:val="center"/>
              <w:rPr>
                <w:rFonts w:ascii="Cambria" w:hAnsi="Cambria" w:cstheme="minorHAnsi"/>
                <w:color w:val="000000" w:themeColor="text1"/>
                <w:sz w:val="18"/>
                <w:szCs w:val="18"/>
              </w:rPr>
            </w:pPr>
            <w:bookmarkStart w:id="20" w:name="_Toc23514794"/>
            <w:r w:rsidRPr="004D23F5">
              <w:rPr>
                <w:rFonts w:ascii="Cambria" w:hAnsi="Cambria" w:cstheme="minorHAnsi"/>
                <w:color w:val="000000" w:themeColor="text1"/>
                <w:sz w:val="18"/>
                <w:szCs w:val="18"/>
              </w:rPr>
              <w:t>45</w:t>
            </w:r>
            <w:bookmarkEnd w:id="20"/>
          </w:p>
        </w:tc>
      </w:tr>
      <w:tr w:rsidR="003340CC" w:rsidRPr="004D23F5" w:rsidTr="004D23F5">
        <w:tc>
          <w:tcPr>
            <w:tcW w:w="1742" w:type="pct"/>
            <w:vAlign w:val="center"/>
          </w:tcPr>
          <w:p w:rsidR="003340CC" w:rsidRPr="004D23F5" w:rsidRDefault="003340CC" w:rsidP="005B6F52">
            <w:pPr>
              <w:rPr>
                <w:rFonts w:ascii="Cambria" w:hAnsi="Cambria" w:cstheme="minorHAnsi"/>
                <w:color w:val="000000" w:themeColor="text1"/>
                <w:sz w:val="18"/>
                <w:szCs w:val="18"/>
              </w:rPr>
            </w:pPr>
            <w:bookmarkStart w:id="21" w:name="_Toc23514795"/>
            <w:r w:rsidRPr="004D23F5">
              <w:rPr>
                <w:rFonts w:ascii="Cambria" w:hAnsi="Cambria" w:cstheme="minorHAnsi"/>
                <w:color w:val="000000" w:themeColor="text1"/>
                <w:sz w:val="18"/>
                <w:szCs w:val="18"/>
              </w:rPr>
              <w:t xml:space="preserve">No </w:t>
            </w:r>
            <w:r w:rsidRPr="004D23F5">
              <w:rPr>
                <w:rFonts w:ascii="Cambria" w:hAnsi="Cambria" w:cstheme="minorHAnsi"/>
                <w:i/>
                <w:iCs/>
                <w:color w:val="000000" w:themeColor="text1"/>
                <w:sz w:val="18"/>
                <w:szCs w:val="18"/>
              </w:rPr>
              <w:t>annual report available</w:t>
            </w:r>
            <w:bookmarkEnd w:id="21"/>
          </w:p>
        </w:tc>
        <w:tc>
          <w:tcPr>
            <w:tcW w:w="362" w:type="pct"/>
            <w:vAlign w:val="center"/>
          </w:tcPr>
          <w:p w:rsidR="003340CC" w:rsidRPr="004D23F5" w:rsidRDefault="003340CC" w:rsidP="005B6F52">
            <w:pPr>
              <w:jc w:val="center"/>
              <w:rPr>
                <w:rFonts w:ascii="Cambria" w:hAnsi="Cambria" w:cstheme="minorHAnsi"/>
                <w:color w:val="000000" w:themeColor="text1"/>
                <w:sz w:val="18"/>
                <w:szCs w:val="18"/>
              </w:rPr>
            </w:pPr>
            <w:bookmarkStart w:id="22" w:name="_Toc23514796"/>
            <w:r w:rsidRPr="004D23F5">
              <w:rPr>
                <w:rFonts w:ascii="Cambria" w:hAnsi="Cambria" w:cstheme="minorHAnsi"/>
                <w:color w:val="000000" w:themeColor="text1"/>
                <w:sz w:val="18"/>
                <w:szCs w:val="18"/>
              </w:rPr>
              <w:t>(9)</w:t>
            </w:r>
            <w:bookmarkEnd w:id="22"/>
          </w:p>
        </w:tc>
        <w:tc>
          <w:tcPr>
            <w:tcW w:w="362" w:type="pct"/>
            <w:vAlign w:val="center"/>
          </w:tcPr>
          <w:p w:rsidR="003340CC" w:rsidRPr="004D23F5" w:rsidRDefault="003340CC" w:rsidP="005B6F52">
            <w:pPr>
              <w:jc w:val="center"/>
              <w:rPr>
                <w:rFonts w:ascii="Cambria" w:hAnsi="Cambria" w:cstheme="minorHAnsi"/>
                <w:color w:val="000000" w:themeColor="text1"/>
                <w:sz w:val="18"/>
                <w:szCs w:val="18"/>
              </w:rPr>
            </w:pPr>
            <w:bookmarkStart w:id="23" w:name="_Toc23514797"/>
            <w:r w:rsidRPr="004D23F5">
              <w:rPr>
                <w:rFonts w:ascii="Cambria" w:hAnsi="Cambria" w:cstheme="minorHAnsi"/>
                <w:color w:val="000000" w:themeColor="text1"/>
                <w:sz w:val="18"/>
                <w:szCs w:val="18"/>
              </w:rPr>
              <w:t>(5)</w:t>
            </w:r>
            <w:bookmarkEnd w:id="23"/>
          </w:p>
        </w:tc>
        <w:tc>
          <w:tcPr>
            <w:tcW w:w="362" w:type="pct"/>
            <w:vAlign w:val="center"/>
          </w:tcPr>
          <w:p w:rsidR="003340CC" w:rsidRPr="004D23F5" w:rsidRDefault="003340CC" w:rsidP="005B6F52">
            <w:pPr>
              <w:jc w:val="center"/>
              <w:rPr>
                <w:rFonts w:ascii="Cambria" w:hAnsi="Cambria" w:cstheme="minorHAnsi"/>
                <w:sz w:val="18"/>
                <w:szCs w:val="18"/>
              </w:rPr>
            </w:pPr>
            <w:bookmarkStart w:id="24" w:name="_Toc23514798"/>
            <w:r w:rsidRPr="004D23F5">
              <w:rPr>
                <w:rFonts w:ascii="Cambria" w:hAnsi="Cambria" w:cstheme="minorHAnsi"/>
                <w:sz w:val="18"/>
                <w:szCs w:val="18"/>
              </w:rPr>
              <w:t>(5)</w:t>
            </w:r>
            <w:bookmarkEnd w:id="24"/>
          </w:p>
        </w:tc>
        <w:tc>
          <w:tcPr>
            <w:tcW w:w="362" w:type="pct"/>
            <w:vAlign w:val="center"/>
          </w:tcPr>
          <w:p w:rsidR="003340CC" w:rsidRPr="004D23F5" w:rsidRDefault="003340CC" w:rsidP="005B6F52">
            <w:pPr>
              <w:jc w:val="center"/>
              <w:rPr>
                <w:rFonts w:ascii="Cambria" w:hAnsi="Cambria" w:cstheme="minorHAnsi"/>
                <w:sz w:val="18"/>
                <w:szCs w:val="18"/>
              </w:rPr>
            </w:pPr>
            <w:bookmarkStart w:id="25" w:name="_Toc23514799"/>
            <w:r w:rsidRPr="004D23F5">
              <w:rPr>
                <w:rFonts w:ascii="Cambria" w:hAnsi="Cambria" w:cstheme="minorHAnsi"/>
                <w:sz w:val="18"/>
                <w:szCs w:val="18"/>
              </w:rPr>
              <w:t>(1)</w:t>
            </w:r>
            <w:bookmarkEnd w:id="25"/>
          </w:p>
        </w:tc>
        <w:tc>
          <w:tcPr>
            <w:tcW w:w="362" w:type="pct"/>
            <w:vAlign w:val="center"/>
          </w:tcPr>
          <w:p w:rsidR="003340CC" w:rsidRPr="004D23F5" w:rsidRDefault="003340CC" w:rsidP="005B6F52">
            <w:pPr>
              <w:jc w:val="center"/>
              <w:rPr>
                <w:rFonts w:ascii="Cambria" w:hAnsi="Cambria" w:cstheme="minorHAnsi"/>
                <w:sz w:val="18"/>
                <w:szCs w:val="18"/>
              </w:rPr>
            </w:pPr>
            <w:bookmarkStart w:id="26" w:name="_Toc23514800"/>
            <w:r w:rsidRPr="004D23F5">
              <w:rPr>
                <w:rFonts w:ascii="Cambria" w:hAnsi="Cambria" w:cstheme="minorHAnsi"/>
                <w:sz w:val="18"/>
                <w:szCs w:val="18"/>
              </w:rPr>
              <w:t>(0)</w:t>
            </w:r>
            <w:bookmarkEnd w:id="26"/>
          </w:p>
        </w:tc>
        <w:tc>
          <w:tcPr>
            <w:tcW w:w="362" w:type="pct"/>
            <w:vAlign w:val="center"/>
          </w:tcPr>
          <w:p w:rsidR="003340CC" w:rsidRPr="004D23F5" w:rsidRDefault="003340CC" w:rsidP="005B6F52">
            <w:pPr>
              <w:jc w:val="center"/>
              <w:rPr>
                <w:rFonts w:ascii="Cambria" w:hAnsi="Cambria" w:cstheme="minorHAnsi"/>
                <w:sz w:val="18"/>
                <w:szCs w:val="18"/>
              </w:rPr>
            </w:pPr>
            <w:bookmarkStart w:id="27" w:name="_Toc23514801"/>
            <w:r w:rsidRPr="004D23F5">
              <w:rPr>
                <w:rFonts w:ascii="Cambria" w:hAnsi="Cambria" w:cstheme="minorHAnsi"/>
                <w:sz w:val="18"/>
                <w:szCs w:val="18"/>
              </w:rPr>
              <w:t>(0)</w:t>
            </w:r>
            <w:bookmarkEnd w:id="27"/>
          </w:p>
        </w:tc>
        <w:tc>
          <w:tcPr>
            <w:tcW w:w="362" w:type="pct"/>
            <w:vAlign w:val="center"/>
          </w:tcPr>
          <w:p w:rsidR="003340CC" w:rsidRPr="004D23F5" w:rsidRDefault="003340CC" w:rsidP="005B6F52">
            <w:pPr>
              <w:jc w:val="center"/>
              <w:rPr>
                <w:rFonts w:ascii="Cambria" w:hAnsi="Cambria" w:cstheme="minorHAnsi"/>
                <w:color w:val="000000" w:themeColor="text1"/>
                <w:sz w:val="18"/>
                <w:szCs w:val="18"/>
              </w:rPr>
            </w:pPr>
            <w:bookmarkStart w:id="28" w:name="_Toc23514802"/>
            <w:r w:rsidRPr="004D23F5">
              <w:rPr>
                <w:rFonts w:ascii="Cambria" w:hAnsi="Cambria" w:cstheme="minorHAnsi"/>
                <w:color w:val="000000" w:themeColor="text1"/>
                <w:sz w:val="18"/>
                <w:szCs w:val="18"/>
              </w:rPr>
              <w:t>(0)</w:t>
            </w:r>
            <w:bookmarkEnd w:id="28"/>
          </w:p>
        </w:tc>
        <w:tc>
          <w:tcPr>
            <w:tcW w:w="362" w:type="pct"/>
            <w:vAlign w:val="center"/>
          </w:tcPr>
          <w:p w:rsidR="003340CC" w:rsidRPr="004D23F5" w:rsidRDefault="003340CC" w:rsidP="005B6F52">
            <w:pPr>
              <w:jc w:val="center"/>
              <w:rPr>
                <w:rFonts w:ascii="Cambria" w:hAnsi="Cambria" w:cstheme="minorHAnsi"/>
                <w:color w:val="000000" w:themeColor="text1"/>
                <w:sz w:val="18"/>
                <w:szCs w:val="18"/>
              </w:rPr>
            </w:pPr>
            <w:bookmarkStart w:id="29" w:name="_Toc23514803"/>
            <w:r w:rsidRPr="004D23F5">
              <w:rPr>
                <w:rFonts w:ascii="Cambria" w:hAnsi="Cambria" w:cstheme="minorHAnsi"/>
                <w:color w:val="000000" w:themeColor="text1"/>
                <w:sz w:val="18"/>
                <w:szCs w:val="18"/>
              </w:rPr>
              <w:t>(0)</w:t>
            </w:r>
            <w:bookmarkEnd w:id="29"/>
          </w:p>
        </w:tc>
        <w:tc>
          <w:tcPr>
            <w:tcW w:w="362" w:type="pct"/>
            <w:vAlign w:val="center"/>
          </w:tcPr>
          <w:p w:rsidR="003340CC" w:rsidRPr="004D23F5" w:rsidRDefault="003340CC" w:rsidP="005B6F52">
            <w:pPr>
              <w:jc w:val="center"/>
              <w:rPr>
                <w:rFonts w:ascii="Cambria" w:hAnsi="Cambria" w:cstheme="minorHAnsi"/>
                <w:color w:val="000000" w:themeColor="text1"/>
                <w:sz w:val="18"/>
                <w:szCs w:val="18"/>
              </w:rPr>
            </w:pPr>
            <w:bookmarkStart w:id="30" w:name="_Toc23514804"/>
            <w:r w:rsidRPr="004D23F5">
              <w:rPr>
                <w:rFonts w:ascii="Cambria" w:hAnsi="Cambria" w:cstheme="minorHAnsi"/>
                <w:color w:val="000000" w:themeColor="text1"/>
                <w:sz w:val="18"/>
                <w:szCs w:val="18"/>
              </w:rPr>
              <w:t>(0)</w:t>
            </w:r>
            <w:bookmarkEnd w:id="30"/>
          </w:p>
        </w:tc>
      </w:tr>
      <w:tr w:rsidR="003340CC" w:rsidRPr="004D23F5" w:rsidTr="004D23F5">
        <w:tc>
          <w:tcPr>
            <w:tcW w:w="1742" w:type="pct"/>
            <w:vAlign w:val="center"/>
          </w:tcPr>
          <w:p w:rsidR="003340CC" w:rsidRPr="004D23F5" w:rsidRDefault="003340CC" w:rsidP="005B6F52">
            <w:pPr>
              <w:rPr>
                <w:rFonts w:ascii="Cambria" w:hAnsi="Cambria" w:cstheme="minorHAnsi"/>
                <w:color w:val="000000" w:themeColor="text1"/>
                <w:sz w:val="18"/>
                <w:szCs w:val="18"/>
              </w:rPr>
            </w:pPr>
            <w:bookmarkStart w:id="31" w:name="_Toc23514824"/>
            <w:r w:rsidRPr="004D23F5">
              <w:rPr>
                <w:rFonts w:ascii="Cambria" w:hAnsi="Cambria" w:cstheme="minorHAnsi"/>
                <w:color w:val="000000" w:themeColor="text1"/>
                <w:sz w:val="18"/>
                <w:szCs w:val="18"/>
              </w:rPr>
              <w:t>Sample</w:t>
            </w:r>
            <w:bookmarkEnd w:id="31"/>
          </w:p>
        </w:tc>
        <w:tc>
          <w:tcPr>
            <w:tcW w:w="362" w:type="pct"/>
            <w:vAlign w:val="center"/>
          </w:tcPr>
          <w:p w:rsidR="003340CC" w:rsidRPr="004D23F5" w:rsidRDefault="003340CC" w:rsidP="005B6F52">
            <w:pPr>
              <w:jc w:val="center"/>
              <w:rPr>
                <w:rFonts w:ascii="Cambria" w:hAnsi="Cambria" w:cstheme="minorHAnsi"/>
                <w:color w:val="000000" w:themeColor="text1"/>
                <w:sz w:val="18"/>
                <w:szCs w:val="18"/>
              </w:rPr>
            </w:pPr>
            <w:bookmarkStart w:id="32" w:name="_Toc23514825"/>
            <w:r w:rsidRPr="004D23F5">
              <w:rPr>
                <w:rFonts w:ascii="Cambria" w:hAnsi="Cambria" w:cstheme="minorHAnsi"/>
                <w:color w:val="000000" w:themeColor="text1"/>
                <w:sz w:val="18"/>
                <w:szCs w:val="18"/>
              </w:rPr>
              <w:t xml:space="preserve">3 </w:t>
            </w:r>
            <w:bookmarkEnd w:id="32"/>
            <w:r w:rsidRPr="004D23F5">
              <w:rPr>
                <w:rFonts w:ascii="Cambria" w:hAnsi="Cambria" w:cstheme="minorHAnsi"/>
                <w:color w:val="000000" w:themeColor="text1"/>
                <w:sz w:val="18"/>
                <w:szCs w:val="18"/>
              </w:rPr>
              <w:t>6</w:t>
            </w:r>
          </w:p>
        </w:tc>
        <w:tc>
          <w:tcPr>
            <w:tcW w:w="362" w:type="pct"/>
            <w:vAlign w:val="center"/>
          </w:tcPr>
          <w:p w:rsidR="003340CC" w:rsidRPr="004D23F5" w:rsidRDefault="003340CC" w:rsidP="005B6F52">
            <w:pPr>
              <w:jc w:val="center"/>
              <w:rPr>
                <w:rFonts w:ascii="Cambria" w:hAnsi="Cambria" w:cstheme="minorHAnsi"/>
                <w:color w:val="000000" w:themeColor="text1"/>
                <w:sz w:val="18"/>
                <w:szCs w:val="18"/>
              </w:rPr>
            </w:pPr>
            <w:r w:rsidRPr="004D23F5">
              <w:rPr>
                <w:rFonts w:ascii="Cambria" w:hAnsi="Cambria" w:cstheme="minorHAnsi"/>
                <w:color w:val="000000" w:themeColor="text1"/>
                <w:sz w:val="18"/>
                <w:szCs w:val="18"/>
              </w:rPr>
              <w:t>40</w:t>
            </w:r>
          </w:p>
        </w:tc>
        <w:tc>
          <w:tcPr>
            <w:tcW w:w="362" w:type="pct"/>
            <w:vAlign w:val="center"/>
          </w:tcPr>
          <w:p w:rsidR="003340CC" w:rsidRPr="004D23F5" w:rsidRDefault="003340CC" w:rsidP="005B6F52">
            <w:pPr>
              <w:jc w:val="center"/>
              <w:rPr>
                <w:rFonts w:ascii="Cambria" w:hAnsi="Cambria" w:cstheme="minorHAnsi"/>
                <w:color w:val="000000" w:themeColor="text1"/>
                <w:sz w:val="18"/>
                <w:szCs w:val="18"/>
              </w:rPr>
            </w:pPr>
            <w:r w:rsidRPr="004D23F5">
              <w:rPr>
                <w:rFonts w:ascii="Cambria" w:hAnsi="Cambria" w:cstheme="minorHAnsi"/>
                <w:color w:val="000000" w:themeColor="text1"/>
                <w:sz w:val="18"/>
                <w:szCs w:val="18"/>
              </w:rPr>
              <w:t>40</w:t>
            </w:r>
          </w:p>
        </w:tc>
        <w:tc>
          <w:tcPr>
            <w:tcW w:w="362" w:type="pct"/>
            <w:vAlign w:val="center"/>
          </w:tcPr>
          <w:p w:rsidR="003340CC" w:rsidRPr="004D23F5" w:rsidRDefault="003340CC" w:rsidP="005B6F52">
            <w:pPr>
              <w:jc w:val="center"/>
              <w:rPr>
                <w:rFonts w:ascii="Cambria" w:hAnsi="Cambria" w:cstheme="minorHAnsi"/>
                <w:color w:val="000000" w:themeColor="text1"/>
                <w:sz w:val="18"/>
                <w:szCs w:val="18"/>
              </w:rPr>
            </w:pPr>
            <w:r w:rsidRPr="004D23F5">
              <w:rPr>
                <w:rFonts w:ascii="Cambria" w:hAnsi="Cambria" w:cstheme="minorHAnsi"/>
                <w:color w:val="000000" w:themeColor="text1"/>
                <w:sz w:val="18"/>
                <w:szCs w:val="18"/>
              </w:rPr>
              <w:t>44</w:t>
            </w:r>
          </w:p>
        </w:tc>
        <w:tc>
          <w:tcPr>
            <w:tcW w:w="362" w:type="pct"/>
            <w:vAlign w:val="center"/>
          </w:tcPr>
          <w:p w:rsidR="003340CC" w:rsidRPr="004D23F5" w:rsidRDefault="003340CC" w:rsidP="005B6F52">
            <w:pPr>
              <w:jc w:val="center"/>
              <w:rPr>
                <w:rFonts w:ascii="Cambria" w:hAnsi="Cambria" w:cstheme="minorHAnsi"/>
                <w:color w:val="000000" w:themeColor="text1"/>
                <w:sz w:val="18"/>
                <w:szCs w:val="18"/>
              </w:rPr>
            </w:pPr>
            <w:r w:rsidRPr="004D23F5">
              <w:rPr>
                <w:rFonts w:ascii="Cambria" w:hAnsi="Cambria" w:cstheme="minorHAnsi"/>
                <w:color w:val="000000" w:themeColor="text1"/>
                <w:sz w:val="18"/>
                <w:szCs w:val="18"/>
              </w:rPr>
              <w:t>46</w:t>
            </w:r>
          </w:p>
        </w:tc>
        <w:tc>
          <w:tcPr>
            <w:tcW w:w="362" w:type="pct"/>
            <w:vAlign w:val="center"/>
          </w:tcPr>
          <w:p w:rsidR="003340CC" w:rsidRPr="004D23F5" w:rsidRDefault="003340CC" w:rsidP="005B6F52">
            <w:pPr>
              <w:jc w:val="center"/>
              <w:rPr>
                <w:rFonts w:ascii="Cambria" w:hAnsi="Cambria" w:cstheme="minorHAnsi"/>
                <w:color w:val="000000" w:themeColor="text1"/>
                <w:sz w:val="18"/>
                <w:szCs w:val="18"/>
              </w:rPr>
            </w:pPr>
            <w:r w:rsidRPr="004D23F5">
              <w:rPr>
                <w:rFonts w:ascii="Cambria" w:hAnsi="Cambria" w:cstheme="minorHAnsi"/>
                <w:color w:val="000000" w:themeColor="text1"/>
                <w:sz w:val="18"/>
                <w:szCs w:val="18"/>
              </w:rPr>
              <w:t>45</w:t>
            </w:r>
          </w:p>
        </w:tc>
        <w:tc>
          <w:tcPr>
            <w:tcW w:w="362" w:type="pct"/>
            <w:vAlign w:val="center"/>
          </w:tcPr>
          <w:p w:rsidR="003340CC" w:rsidRPr="004D23F5" w:rsidRDefault="003340CC" w:rsidP="005B6F52">
            <w:pPr>
              <w:jc w:val="center"/>
              <w:rPr>
                <w:rFonts w:ascii="Cambria" w:hAnsi="Cambria" w:cstheme="minorHAnsi"/>
                <w:color w:val="000000" w:themeColor="text1"/>
                <w:sz w:val="18"/>
                <w:szCs w:val="18"/>
              </w:rPr>
            </w:pPr>
            <w:r w:rsidRPr="004D23F5">
              <w:rPr>
                <w:rFonts w:ascii="Cambria" w:hAnsi="Cambria" w:cstheme="minorHAnsi"/>
                <w:color w:val="000000" w:themeColor="text1"/>
                <w:sz w:val="18"/>
                <w:szCs w:val="18"/>
              </w:rPr>
              <w:t>45</w:t>
            </w:r>
          </w:p>
        </w:tc>
        <w:tc>
          <w:tcPr>
            <w:tcW w:w="362" w:type="pct"/>
            <w:vAlign w:val="center"/>
          </w:tcPr>
          <w:p w:rsidR="003340CC" w:rsidRPr="004D23F5" w:rsidRDefault="003340CC" w:rsidP="005B6F52">
            <w:pPr>
              <w:jc w:val="center"/>
              <w:rPr>
                <w:rFonts w:ascii="Cambria" w:hAnsi="Cambria" w:cstheme="minorHAnsi"/>
                <w:color w:val="000000" w:themeColor="text1"/>
                <w:sz w:val="18"/>
                <w:szCs w:val="18"/>
              </w:rPr>
            </w:pPr>
            <w:r w:rsidRPr="004D23F5">
              <w:rPr>
                <w:rFonts w:ascii="Cambria" w:hAnsi="Cambria" w:cstheme="minorHAnsi"/>
                <w:color w:val="000000" w:themeColor="text1"/>
                <w:sz w:val="18"/>
                <w:szCs w:val="18"/>
              </w:rPr>
              <w:t>45</w:t>
            </w:r>
          </w:p>
        </w:tc>
        <w:tc>
          <w:tcPr>
            <w:tcW w:w="362" w:type="pct"/>
            <w:vAlign w:val="center"/>
          </w:tcPr>
          <w:p w:rsidR="003340CC" w:rsidRPr="004D23F5" w:rsidRDefault="003340CC" w:rsidP="005B6F52">
            <w:pPr>
              <w:jc w:val="center"/>
              <w:rPr>
                <w:rFonts w:ascii="Cambria" w:hAnsi="Cambria" w:cstheme="minorHAnsi"/>
                <w:color w:val="000000" w:themeColor="text1"/>
                <w:sz w:val="18"/>
                <w:szCs w:val="18"/>
              </w:rPr>
            </w:pPr>
            <w:r w:rsidRPr="004D23F5">
              <w:rPr>
                <w:rFonts w:ascii="Cambria" w:hAnsi="Cambria" w:cstheme="minorHAnsi"/>
                <w:color w:val="000000" w:themeColor="text1"/>
                <w:sz w:val="18"/>
                <w:szCs w:val="18"/>
              </w:rPr>
              <w:t>45</w:t>
            </w:r>
          </w:p>
        </w:tc>
      </w:tr>
      <w:tr w:rsidR="003340CC" w:rsidRPr="004D23F5" w:rsidTr="004D23F5">
        <w:tc>
          <w:tcPr>
            <w:tcW w:w="1742" w:type="pct"/>
            <w:vAlign w:val="center"/>
          </w:tcPr>
          <w:p w:rsidR="003340CC" w:rsidRPr="004D23F5" w:rsidRDefault="003340CC" w:rsidP="005B6F52">
            <w:pPr>
              <w:rPr>
                <w:rFonts w:ascii="Cambria" w:hAnsi="Cambria" w:cstheme="minorHAnsi"/>
                <w:color w:val="000000" w:themeColor="text1"/>
                <w:sz w:val="18"/>
                <w:szCs w:val="18"/>
              </w:rPr>
            </w:pPr>
            <w:bookmarkStart w:id="33" w:name="_Toc23514834"/>
            <w:r w:rsidRPr="004D23F5">
              <w:rPr>
                <w:rFonts w:ascii="Cambria" w:hAnsi="Cambria" w:cstheme="minorHAnsi"/>
                <w:color w:val="000000" w:themeColor="text1"/>
                <w:sz w:val="18"/>
                <w:szCs w:val="18"/>
              </w:rPr>
              <w:t>Total</w:t>
            </w:r>
            <w:bookmarkEnd w:id="33"/>
          </w:p>
        </w:tc>
        <w:tc>
          <w:tcPr>
            <w:tcW w:w="362" w:type="pct"/>
            <w:vAlign w:val="center"/>
          </w:tcPr>
          <w:p w:rsidR="003340CC" w:rsidRPr="004D23F5" w:rsidRDefault="003340CC" w:rsidP="005B6F52">
            <w:pPr>
              <w:jc w:val="center"/>
              <w:rPr>
                <w:rFonts w:ascii="Cambria" w:hAnsi="Cambria" w:cstheme="minorHAnsi"/>
                <w:color w:val="000000" w:themeColor="text1"/>
                <w:sz w:val="18"/>
                <w:szCs w:val="18"/>
              </w:rPr>
            </w:pPr>
            <w:bookmarkStart w:id="34" w:name="_Toc23514835"/>
            <w:r w:rsidRPr="004D23F5">
              <w:rPr>
                <w:rFonts w:ascii="Cambria" w:hAnsi="Cambria" w:cstheme="minorHAnsi"/>
                <w:color w:val="000000" w:themeColor="text1"/>
                <w:sz w:val="18"/>
                <w:szCs w:val="18"/>
              </w:rPr>
              <w:t xml:space="preserve">3 </w:t>
            </w:r>
            <w:bookmarkEnd w:id="34"/>
            <w:r w:rsidRPr="004D23F5">
              <w:rPr>
                <w:rFonts w:ascii="Cambria" w:hAnsi="Cambria" w:cstheme="minorHAnsi"/>
                <w:color w:val="000000" w:themeColor="text1"/>
                <w:sz w:val="18"/>
                <w:szCs w:val="18"/>
              </w:rPr>
              <w:t>86</w:t>
            </w:r>
          </w:p>
        </w:tc>
        <w:tc>
          <w:tcPr>
            <w:tcW w:w="362" w:type="pct"/>
            <w:vAlign w:val="center"/>
          </w:tcPr>
          <w:p w:rsidR="003340CC" w:rsidRPr="004D23F5" w:rsidRDefault="003340CC" w:rsidP="005B6F52">
            <w:pPr>
              <w:jc w:val="center"/>
              <w:rPr>
                <w:rFonts w:ascii="Cambria" w:hAnsi="Cambria" w:cstheme="minorHAnsi"/>
                <w:color w:val="000000" w:themeColor="text1"/>
                <w:sz w:val="18"/>
                <w:szCs w:val="18"/>
              </w:rPr>
            </w:pPr>
          </w:p>
        </w:tc>
        <w:tc>
          <w:tcPr>
            <w:tcW w:w="362" w:type="pct"/>
            <w:vAlign w:val="center"/>
          </w:tcPr>
          <w:p w:rsidR="003340CC" w:rsidRPr="004D23F5" w:rsidRDefault="003340CC" w:rsidP="005B6F52">
            <w:pPr>
              <w:jc w:val="center"/>
              <w:rPr>
                <w:rFonts w:ascii="Cambria" w:hAnsi="Cambria" w:cstheme="minorHAnsi"/>
                <w:color w:val="000000" w:themeColor="text1"/>
                <w:sz w:val="18"/>
                <w:szCs w:val="18"/>
              </w:rPr>
            </w:pPr>
          </w:p>
        </w:tc>
        <w:tc>
          <w:tcPr>
            <w:tcW w:w="362" w:type="pct"/>
            <w:vAlign w:val="center"/>
          </w:tcPr>
          <w:p w:rsidR="003340CC" w:rsidRPr="004D23F5" w:rsidRDefault="003340CC" w:rsidP="005B6F52">
            <w:pPr>
              <w:jc w:val="center"/>
              <w:rPr>
                <w:rFonts w:ascii="Cambria" w:hAnsi="Cambria" w:cstheme="minorHAnsi"/>
                <w:color w:val="000000" w:themeColor="text1"/>
                <w:sz w:val="18"/>
                <w:szCs w:val="18"/>
              </w:rPr>
            </w:pPr>
          </w:p>
        </w:tc>
        <w:tc>
          <w:tcPr>
            <w:tcW w:w="362" w:type="pct"/>
            <w:vAlign w:val="center"/>
          </w:tcPr>
          <w:p w:rsidR="003340CC" w:rsidRPr="004D23F5" w:rsidRDefault="003340CC" w:rsidP="005B6F52">
            <w:pPr>
              <w:jc w:val="center"/>
              <w:rPr>
                <w:rFonts w:ascii="Cambria" w:hAnsi="Cambria" w:cstheme="minorHAnsi"/>
                <w:color w:val="000000" w:themeColor="text1"/>
                <w:sz w:val="18"/>
                <w:szCs w:val="18"/>
              </w:rPr>
            </w:pPr>
          </w:p>
        </w:tc>
        <w:tc>
          <w:tcPr>
            <w:tcW w:w="362" w:type="pct"/>
            <w:vAlign w:val="center"/>
          </w:tcPr>
          <w:p w:rsidR="003340CC" w:rsidRPr="004D23F5" w:rsidRDefault="003340CC" w:rsidP="005B6F52">
            <w:pPr>
              <w:jc w:val="center"/>
              <w:rPr>
                <w:rFonts w:ascii="Cambria" w:hAnsi="Cambria" w:cstheme="minorHAnsi"/>
                <w:color w:val="000000" w:themeColor="text1"/>
                <w:sz w:val="18"/>
                <w:szCs w:val="18"/>
              </w:rPr>
            </w:pPr>
          </w:p>
        </w:tc>
        <w:tc>
          <w:tcPr>
            <w:tcW w:w="362" w:type="pct"/>
            <w:vAlign w:val="center"/>
          </w:tcPr>
          <w:p w:rsidR="003340CC" w:rsidRPr="004D23F5" w:rsidRDefault="003340CC" w:rsidP="005B6F52">
            <w:pPr>
              <w:jc w:val="center"/>
              <w:rPr>
                <w:rFonts w:ascii="Cambria" w:hAnsi="Cambria" w:cstheme="minorHAnsi"/>
                <w:color w:val="000000" w:themeColor="text1"/>
                <w:sz w:val="18"/>
                <w:szCs w:val="18"/>
              </w:rPr>
            </w:pPr>
          </w:p>
        </w:tc>
        <w:tc>
          <w:tcPr>
            <w:tcW w:w="362" w:type="pct"/>
            <w:vAlign w:val="center"/>
          </w:tcPr>
          <w:p w:rsidR="003340CC" w:rsidRPr="004D23F5" w:rsidRDefault="003340CC" w:rsidP="005B6F52">
            <w:pPr>
              <w:jc w:val="center"/>
              <w:rPr>
                <w:rFonts w:ascii="Cambria" w:hAnsi="Cambria" w:cstheme="minorHAnsi"/>
                <w:color w:val="000000" w:themeColor="text1"/>
                <w:sz w:val="18"/>
                <w:szCs w:val="18"/>
              </w:rPr>
            </w:pPr>
          </w:p>
        </w:tc>
        <w:tc>
          <w:tcPr>
            <w:tcW w:w="362" w:type="pct"/>
            <w:vAlign w:val="center"/>
          </w:tcPr>
          <w:p w:rsidR="003340CC" w:rsidRPr="004D23F5" w:rsidRDefault="003340CC" w:rsidP="005B6F52">
            <w:pPr>
              <w:jc w:val="center"/>
              <w:rPr>
                <w:rFonts w:ascii="Cambria" w:hAnsi="Cambria" w:cstheme="minorHAnsi"/>
                <w:color w:val="000000" w:themeColor="text1"/>
                <w:sz w:val="18"/>
                <w:szCs w:val="18"/>
              </w:rPr>
            </w:pPr>
          </w:p>
        </w:tc>
      </w:tr>
    </w:tbl>
    <w:p w:rsidR="003340CC" w:rsidRPr="003340CC" w:rsidRDefault="003340CC" w:rsidP="003340CC">
      <w:pPr>
        <w:tabs>
          <w:tab w:val="left" w:pos="567"/>
        </w:tabs>
        <w:spacing w:after="0" w:line="240" w:lineRule="auto"/>
        <w:jc w:val="both"/>
        <w:rPr>
          <w:rFonts w:ascii="Cambria" w:eastAsia="Cambria" w:hAnsi="Cambria" w:cs="Cambria"/>
          <w:sz w:val="20"/>
          <w:szCs w:val="20"/>
        </w:rPr>
      </w:pPr>
      <w:r w:rsidRPr="003340CC">
        <w:rPr>
          <w:rFonts w:ascii="Cambria" w:eastAsia="Cambria" w:hAnsi="Cambria" w:cs="Cambria"/>
          <w:sz w:val="20"/>
          <w:szCs w:val="20"/>
        </w:rPr>
        <w:t>Source: Secondary data processed from https://www.idx.co.id/</w:t>
      </w:r>
    </w:p>
    <w:p w:rsidR="003340CC" w:rsidRPr="003340CC" w:rsidRDefault="003340CC" w:rsidP="003340CC">
      <w:pPr>
        <w:tabs>
          <w:tab w:val="left" w:pos="567"/>
        </w:tabs>
        <w:spacing w:after="0" w:line="240" w:lineRule="auto"/>
        <w:jc w:val="both"/>
        <w:rPr>
          <w:rFonts w:ascii="Cambria" w:eastAsia="Cambria" w:hAnsi="Cambria" w:cs="Cambria"/>
          <w:sz w:val="20"/>
          <w:szCs w:val="20"/>
        </w:rPr>
      </w:pPr>
    </w:p>
    <w:p w:rsidR="003340CC" w:rsidRPr="004D23F5" w:rsidRDefault="003340CC" w:rsidP="003340CC">
      <w:pPr>
        <w:tabs>
          <w:tab w:val="left" w:pos="567"/>
        </w:tabs>
        <w:spacing w:after="0" w:line="240" w:lineRule="auto"/>
        <w:jc w:val="both"/>
        <w:rPr>
          <w:rFonts w:ascii="Cambria" w:eastAsia="Cambria" w:hAnsi="Cambria" w:cs="Cambria"/>
          <w:b/>
          <w:bCs/>
          <w:sz w:val="20"/>
          <w:szCs w:val="20"/>
        </w:rPr>
      </w:pPr>
      <w:r w:rsidRPr="004D23F5">
        <w:rPr>
          <w:rFonts w:ascii="Cambria" w:eastAsia="Cambria" w:hAnsi="Cambria" w:cs="Cambria"/>
          <w:b/>
          <w:bCs/>
          <w:sz w:val="20"/>
          <w:szCs w:val="20"/>
        </w:rPr>
        <w:t>Operational Definition and Variable Measurement</w:t>
      </w:r>
    </w:p>
    <w:p w:rsidR="003340CC" w:rsidRPr="003340CC" w:rsidRDefault="003340CC" w:rsidP="003340CC">
      <w:pPr>
        <w:tabs>
          <w:tab w:val="left" w:pos="567"/>
        </w:tabs>
        <w:spacing w:after="0" w:line="240" w:lineRule="auto"/>
        <w:jc w:val="both"/>
        <w:rPr>
          <w:rFonts w:ascii="Cambria" w:eastAsia="Cambria" w:hAnsi="Cambria" w:cs="Cambria"/>
          <w:sz w:val="20"/>
          <w:szCs w:val="20"/>
        </w:rPr>
      </w:pPr>
      <w:r w:rsidRPr="003340CC">
        <w:rPr>
          <w:rFonts w:ascii="Cambria" w:eastAsia="Cambria" w:hAnsi="Cambria" w:cs="Cambria"/>
          <w:sz w:val="20"/>
          <w:szCs w:val="20"/>
        </w:rPr>
        <w:t>The dependent variable in this study is audit quality. The independent variables in this study are state ownership (SO), ownership concentration (OC), and blockholder ownership (BO). This study uses firm age (AGE) and firm size (SIZE), as control variables. Here's how to measure research variables:</w:t>
      </w:r>
    </w:p>
    <w:p w:rsidR="003340CC" w:rsidRPr="003340CC" w:rsidRDefault="003340CC" w:rsidP="003340CC">
      <w:pPr>
        <w:tabs>
          <w:tab w:val="left" w:pos="567"/>
        </w:tabs>
        <w:spacing w:after="0" w:line="240" w:lineRule="auto"/>
        <w:jc w:val="both"/>
        <w:rPr>
          <w:rFonts w:ascii="Cambria" w:eastAsia="Cambria" w:hAnsi="Cambria" w:cs="Cambria"/>
          <w:sz w:val="20"/>
          <w:szCs w:val="20"/>
        </w:rPr>
      </w:pPr>
      <w:r w:rsidRPr="003340CC">
        <w:rPr>
          <w:rFonts w:ascii="Cambria" w:eastAsia="Cambria" w:hAnsi="Cambria" w:cs="Cambria"/>
          <w:sz w:val="20"/>
          <w:szCs w:val="20"/>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971"/>
        <w:gridCol w:w="7056"/>
      </w:tblGrid>
      <w:tr w:rsidR="003340CC" w:rsidRPr="003340CC" w:rsidTr="004D23F5">
        <w:tc>
          <w:tcPr>
            <w:tcW w:w="1980" w:type="dxa"/>
          </w:tcPr>
          <w:p w:rsidR="003340CC" w:rsidRPr="003340CC" w:rsidRDefault="003340CC" w:rsidP="005B6F52">
            <w:pPr>
              <w:jc w:val="center"/>
              <w:rPr>
                <w:rFonts w:ascii="Cambria" w:hAnsi="Cambria"/>
                <w:b/>
                <w:bCs/>
                <w:sz w:val="20"/>
                <w:szCs w:val="20"/>
              </w:rPr>
            </w:pPr>
            <w:r w:rsidRPr="003340CC">
              <w:rPr>
                <w:rFonts w:ascii="Cambria" w:hAnsi="Cambria"/>
                <w:b/>
                <w:bCs/>
                <w:sz w:val="20"/>
                <w:szCs w:val="20"/>
              </w:rPr>
              <w:t>Variable Name</w:t>
            </w:r>
          </w:p>
        </w:tc>
        <w:tc>
          <w:tcPr>
            <w:tcW w:w="7081" w:type="dxa"/>
          </w:tcPr>
          <w:p w:rsidR="003340CC" w:rsidRPr="003340CC" w:rsidRDefault="003340CC" w:rsidP="005B6F52">
            <w:pPr>
              <w:jc w:val="center"/>
              <w:rPr>
                <w:rFonts w:ascii="Cambria" w:hAnsi="Cambria"/>
                <w:b/>
                <w:bCs/>
                <w:sz w:val="20"/>
                <w:szCs w:val="20"/>
              </w:rPr>
            </w:pPr>
            <w:r w:rsidRPr="003340CC">
              <w:rPr>
                <w:rFonts w:ascii="Cambria" w:hAnsi="Cambria"/>
                <w:b/>
                <w:bCs/>
                <w:sz w:val="20"/>
                <w:szCs w:val="20"/>
              </w:rPr>
              <w:t>Measurement</w:t>
            </w:r>
          </w:p>
        </w:tc>
      </w:tr>
      <w:tr w:rsidR="003340CC" w:rsidRPr="003340CC" w:rsidTr="004D23F5">
        <w:tc>
          <w:tcPr>
            <w:tcW w:w="1980" w:type="dxa"/>
          </w:tcPr>
          <w:p w:rsidR="003340CC" w:rsidRPr="003340CC" w:rsidRDefault="003340CC" w:rsidP="005B6F52">
            <w:pPr>
              <w:jc w:val="both"/>
              <w:rPr>
                <w:rFonts w:ascii="Cambria" w:hAnsi="Cambria"/>
                <w:sz w:val="20"/>
                <w:szCs w:val="20"/>
              </w:rPr>
            </w:pPr>
            <w:r w:rsidRPr="003340CC">
              <w:rPr>
                <w:rFonts w:ascii="Cambria" w:hAnsi="Cambria" w:cstheme="minorHAnsi"/>
                <w:i/>
                <w:sz w:val="20"/>
                <w:szCs w:val="20"/>
              </w:rPr>
              <w:t xml:space="preserve">Audit Quality </w:t>
            </w:r>
            <w:r w:rsidRPr="003340CC">
              <w:rPr>
                <w:rFonts w:ascii="Cambria" w:hAnsi="Cambria" w:cstheme="minorHAnsi"/>
                <w:sz w:val="20"/>
                <w:szCs w:val="20"/>
              </w:rPr>
              <w:t>(AQ)</w:t>
            </w:r>
          </w:p>
        </w:tc>
        <w:tc>
          <w:tcPr>
            <w:tcW w:w="7081" w:type="dxa"/>
          </w:tcPr>
          <w:p w:rsidR="003340CC" w:rsidRPr="003340CC" w:rsidRDefault="003340CC" w:rsidP="005B6F52">
            <w:pPr>
              <w:rPr>
                <w:rFonts w:ascii="Cambria" w:hAnsi="Cambria" w:cstheme="minorHAnsi"/>
                <w:sz w:val="20"/>
                <w:szCs w:val="20"/>
              </w:rPr>
            </w:pPr>
            <w:r w:rsidRPr="003340CC">
              <w:rPr>
                <w:rFonts w:ascii="Cambria" w:hAnsi="Cambria" w:cstheme="minorHAnsi"/>
                <w:sz w:val="20"/>
                <w:szCs w:val="20"/>
              </w:rPr>
              <w:t xml:space="preserve">Use the appropriate KAP category proxies Tuanakotta (2011). AQ is presented in the form of </w:t>
            </w:r>
            <w:r w:rsidRPr="003340CC">
              <w:rPr>
                <w:rFonts w:ascii="Cambria" w:hAnsi="Cambria" w:cstheme="minorHAnsi"/>
                <w:i/>
                <w:sz w:val="20"/>
                <w:szCs w:val="20"/>
              </w:rPr>
              <w:t xml:space="preserve">a dummy variable </w:t>
            </w:r>
            <w:r w:rsidRPr="003340CC">
              <w:rPr>
                <w:rFonts w:ascii="Cambria" w:hAnsi="Cambria" w:cstheme="minorHAnsi"/>
                <w:sz w:val="20"/>
                <w:szCs w:val="20"/>
              </w:rPr>
              <w:t>and a ranking is made</w:t>
            </w:r>
          </w:p>
          <w:p w:rsidR="003340CC" w:rsidRPr="003340CC" w:rsidRDefault="003340CC" w:rsidP="005B6F52">
            <w:pPr>
              <w:rPr>
                <w:rFonts w:ascii="Cambria" w:hAnsi="Cambria" w:cstheme="minorHAnsi"/>
                <w:sz w:val="20"/>
                <w:szCs w:val="20"/>
              </w:rPr>
            </w:pPr>
          </w:p>
          <w:p w:rsidR="003340CC" w:rsidRPr="003340CC" w:rsidRDefault="003340CC" w:rsidP="005B6F52">
            <w:pPr>
              <w:rPr>
                <w:rFonts w:ascii="Cambria" w:hAnsi="Cambria" w:cstheme="minorHAnsi"/>
                <w:sz w:val="20"/>
                <w:szCs w:val="20"/>
              </w:rPr>
            </w:pPr>
            <w:r w:rsidRPr="003340CC">
              <w:rPr>
                <w:rFonts w:ascii="Cambria" w:hAnsi="Cambria" w:cstheme="minorHAnsi"/>
                <w:sz w:val="20"/>
                <w:szCs w:val="20"/>
              </w:rPr>
              <w:t xml:space="preserve">KAP with </w:t>
            </w:r>
            <w:r w:rsidRPr="003340CC">
              <w:rPr>
                <w:rFonts w:ascii="Cambria" w:hAnsi="Cambria" w:cstheme="minorHAnsi"/>
                <w:i/>
                <w:iCs/>
                <w:sz w:val="20"/>
                <w:szCs w:val="20"/>
              </w:rPr>
              <w:t xml:space="preserve">Big Four affiliation </w:t>
            </w:r>
            <w:r w:rsidRPr="003340CC">
              <w:rPr>
                <w:rFonts w:ascii="Cambria" w:hAnsi="Cambria" w:cstheme="minorHAnsi"/>
                <w:sz w:val="20"/>
                <w:szCs w:val="20"/>
              </w:rPr>
              <w:t>is given a score of two (2)</w:t>
            </w:r>
          </w:p>
          <w:p w:rsidR="003340CC" w:rsidRPr="003340CC" w:rsidRDefault="003340CC" w:rsidP="005B6F52">
            <w:pPr>
              <w:rPr>
                <w:rFonts w:ascii="Cambria" w:hAnsi="Cambria" w:cstheme="minorHAnsi"/>
                <w:color w:val="000000" w:themeColor="text1"/>
                <w:sz w:val="20"/>
                <w:szCs w:val="20"/>
              </w:rPr>
            </w:pPr>
            <w:r w:rsidRPr="003340CC">
              <w:rPr>
                <w:rFonts w:ascii="Cambria" w:hAnsi="Cambria" w:cstheme="minorHAnsi"/>
                <w:sz w:val="20"/>
                <w:szCs w:val="20"/>
              </w:rPr>
              <w:t xml:space="preserve">KAPs with non- </w:t>
            </w:r>
            <w:r w:rsidRPr="003340CC">
              <w:rPr>
                <w:rFonts w:ascii="Cambria" w:hAnsi="Cambria" w:cstheme="minorHAnsi"/>
                <w:i/>
                <w:iCs/>
                <w:color w:val="000000" w:themeColor="text1"/>
                <w:sz w:val="20"/>
                <w:szCs w:val="20"/>
              </w:rPr>
              <w:t xml:space="preserve">Big Four </w:t>
            </w:r>
            <w:r w:rsidRPr="003340CC">
              <w:rPr>
                <w:rFonts w:ascii="Cambria" w:hAnsi="Cambria" w:cstheme="minorHAnsi"/>
                <w:color w:val="000000" w:themeColor="text1"/>
                <w:sz w:val="20"/>
                <w:szCs w:val="20"/>
              </w:rPr>
              <w:t>affiliates are given a score of one (1)</w:t>
            </w:r>
          </w:p>
          <w:p w:rsidR="003340CC" w:rsidRPr="003340CC" w:rsidRDefault="003340CC" w:rsidP="005B6F52">
            <w:pPr>
              <w:rPr>
                <w:rFonts w:ascii="Cambria" w:hAnsi="Cambria" w:cstheme="minorHAnsi"/>
                <w:color w:val="000000" w:themeColor="text1"/>
                <w:sz w:val="20"/>
                <w:szCs w:val="20"/>
              </w:rPr>
            </w:pPr>
            <w:r w:rsidRPr="003340CC">
              <w:rPr>
                <w:rFonts w:ascii="Cambria" w:hAnsi="Cambria" w:cstheme="minorHAnsi"/>
                <w:color w:val="000000" w:themeColor="text1"/>
                <w:sz w:val="20"/>
                <w:szCs w:val="20"/>
              </w:rPr>
              <w:t>KAP without international cooperation is given a score of zero (0)</w:t>
            </w:r>
          </w:p>
          <w:p w:rsidR="003340CC" w:rsidRPr="003340CC" w:rsidRDefault="003340CC" w:rsidP="005B6F52">
            <w:pPr>
              <w:jc w:val="both"/>
              <w:rPr>
                <w:rFonts w:ascii="Cambria" w:hAnsi="Cambria"/>
                <w:sz w:val="20"/>
                <w:szCs w:val="20"/>
              </w:rPr>
            </w:pPr>
          </w:p>
        </w:tc>
      </w:tr>
      <w:tr w:rsidR="003340CC" w:rsidRPr="003340CC" w:rsidTr="004D23F5">
        <w:tc>
          <w:tcPr>
            <w:tcW w:w="1980" w:type="dxa"/>
          </w:tcPr>
          <w:p w:rsidR="003340CC" w:rsidRPr="003340CC" w:rsidRDefault="003340CC" w:rsidP="005B6F52">
            <w:pPr>
              <w:tabs>
                <w:tab w:val="left" w:pos="900"/>
              </w:tabs>
              <w:jc w:val="both"/>
              <w:outlineLvl w:val="1"/>
              <w:rPr>
                <w:rFonts w:ascii="Cambria" w:hAnsi="Cambria"/>
                <w:sz w:val="20"/>
                <w:szCs w:val="20"/>
              </w:rPr>
            </w:pPr>
            <w:bookmarkStart w:id="35" w:name="_Toc23514739"/>
            <w:r w:rsidRPr="003340CC">
              <w:rPr>
                <w:rFonts w:ascii="Cambria" w:hAnsi="Cambria" w:cstheme="minorHAnsi"/>
                <w:i/>
                <w:color w:val="000000" w:themeColor="text1"/>
                <w:sz w:val="20"/>
                <w:szCs w:val="20"/>
              </w:rPr>
              <w:t xml:space="preserve">State Ownership </w:t>
            </w:r>
            <w:r w:rsidRPr="003340CC">
              <w:rPr>
                <w:rFonts w:ascii="Cambria" w:hAnsi="Cambria" w:cstheme="minorHAnsi"/>
                <w:color w:val="000000" w:themeColor="text1"/>
                <w:sz w:val="20"/>
                <w:szCs w:val="20"/>
              </w:rPr>
              <w:t>(SO)</w:t>
            </w:r>
            <w:bookmarkEnd w:id="35"/>
          </w:p>
        </w:tc>
        <w:tc>
          <w:tcPr>
            <w:tcW w:w="7081" w:type="dxa"/>
          </w:tcPr>
          <w:p w:rsidR="003340CC" w:rsidRPr="003340CC" w:rsidRDefault="003340CC" w:rsidP="005B6F52">
            <w:pPr>
              <w:rPr>
                <w:rFonts w:ascii="Cambria" w:hAnsi="Cambria" w:cstheme="minorHAnsi"/>
                <w:color w:val="000000" w:themeColor="text1"/>
                <w:sz w:val="20"/>
                <w:szCs w:val="20"/>
              </w:rPr>
            </w:pPr>
            <w:r w:rsidRPr="003340CC">
              <w:rPr>
                <w:rFonts w:ascii="Cambria" w:hAnsi="Cambria" w:cstheme="minorHAnsi"/>
                <w:color w:val="000000" w:themeColor="text1"/>
                <w:sz w:val="20"/>
                <w:szCs w:val="20"/>
              </w:rPr>
              <w:t>Total percentage of shares owned by the state and state institutions</w:t>
            </w:r>
          </w:p>
          <w:p w:rsidR="003340CC" w:rsidRPr="003340CC" w:rsidRDefault="003340CC" w:rsidP="005B6F52">
            <w:pPr>
              <w:rPr>
                <w:rFonts w:ascii="Cambria" w:hAnsi="Cambria"/>
                <w:color w:val="000000" w:themeColor="text1"/>
                <w:sz w:val="20"/>
                <w:szCs w:val="20"/>
              </w:rPr>
            </w:pPr>
          </w:p>
          <w:p w:rsidR="003340CC" w:rsidRPr="003340CC" w:rsidRDefault="003340CC" w:rsidP="005B6F52">
            <w:pPr>
              <w:rPr>
                <w:rFonts w:ascii="Cambria" w:hAnsi="Cambria" w:cstheme="minorHAnsi"/>
                <w:color w:val="000000" w:themeColor="text1"/>
                <w:sz w:val="20"/>
                <w:szCs w:val="20"/>
              </w:rPr>
            </w:pPr>
            <m:oMathPara>
              <m:oMathParaPr>
                <m:jc m:val="left"/>
              </m:oMathParaPr>
              <m:oMath>
                <m:r>
                  <m:rPr>
                    <m:sty m:val="p"/>
                  </m:rPr>
                  <w:rPr>
                    <w:rFonts w:ascii="Cambria Math" w:hAnsi="Cambria Math" w:cstheme="minorHAnsi"/>
                    <w:color w:val="000000" w:themeColor="text1"/>
                    <w:sz w:val="20"/>
                    <w:szCs w:val="20"/>
                  </w:rPr>
                  <m:t>SO=</m:t>
                </m:r>
                <m:f>
                  <m:fPr>
                    <m:ctrlPr>
                      <w:rPr>
                        <w:rFonts w:ascii="Cambria Math" w:hAnsi="Cambria Math" w:cstheme="minorHAnsi"/>
                        <w:color w:val="000000" w:themeColor="text1"/>
                        <w:sz w:val="20"/>
                        <w:szCs w:val="20"/>
                      </w:rPr>
                    </m:ctrlPr>
                  </m:fPr>
                  <m:num>
                    <m:nary>
                      <m:naryPr>
                        <m:chr m:val="∑"/>
                        <m:limLoc m:val="undOvr"/>
                        <m:subHide m:val="1"/>
                        <m:supHide m:val="1"/>
                        <m:ctrlPr>
                          <w:rPr>
                            <w:rFonts w:ascii="Cambria Math" w:hAnsi="Cambria Math" w:cstheme="minorHAnsi"/>
                            <w:color w:val="000000" w:themeColor="text1"/>
                            <w:sz w:val="20"/>
                            <w:szCs w:val="20"/>
                          </w:rPr>
                        </m:ctrlPr>
                      </m:naryPr>
                      <m:sub/>
                      <m:sup/>
                      <m:e>
                        <m:r>
                          <m:rPr>
                            <m:sty m:val="p"/>
                          </m:rPr>
                          <w:rPr>
                            <w:rFonts w:ascii="Cambria Math" w:hAnsi="Cambria Math" w:cstheme="minorHAnsi"/>
                            <w:color w:val="000000" w:themeColor="text1"/>
                            <w:sz w:val="20"/>
                            <w:szCs w:val="20"/>
                          </w:rPr>
                          <m:t>saham milik Negara Indonesia</m:t>
                        </m:r>
                      </m:e>
                    </m:nary>
                  </m:num>
                  <m:den>
                    <m:nary>
                      <m:naryPr>
                        <m:chr m:val="∑"/>
                        <m:limLoc m:val="undOvr"/>
                        <m:subHide m:val="1"/>
                        <m:supHide m:val="1"/>
                        <m:ctrlPr>
                          <w:rPr>
                            <w:rFonts w:ascii="Cambria Math" w:hAnsi="Cambria Math" w:cstheme="minorHAnsi"/>
                            <w:color w:val="000000" w:themeColor="text1"/>
                            <w:sz w:val="20"/>
                            <w:szCs w:val="20"/>
                          </w:rPr>
                        </m:ctrlPr>
                      </m:naryPr>
                      <m:sub/>
                      <m:sup/>
                      <m:e>
                        <m:r>
                          <m:rPr>
                            <m:sty m:val="p"/>
                          </m:rPr>
                          <w:rPr>
                            <w:rFonts w:ascii="Cambria Math" w:hAnsi="Cambria Math" w:cstheme="minorHAnsi"/>
                            <w:color w:val="000000" w:themeColor="text1"/>
                            <w:sz w:val="20"/>
                            <w:szCs w:val="20"/>
                          </w:rPr>
                          <m:t>saham yang beredar</m:t>
                        </m:r>
                      </m:e>
                    </m:nary>
                  </m:den>
                </m:f>
                <m:r>
                  <m:rPr>
                    <m:sty m:val="p"/>
                  </m:rPr>
                  <w:rPr>
                    <w:rFonts w:ascii="Cambria Math" w:hAnsi="Cambria Math" w:cstheme="minorHAnsi"/>
                    <w:color w:val="000000" w:themeColor="text1"/>
                    <w:sz w:val="20"/>
                    <w:szCs w:val="20"/>
                  </w:rPr>
                  <m:t>x 1</m:t>
                </m:r>
                <m:r>
                  <m:rPr>
                    <m:sty m:val="p"/>
                  </m:rPr>
                  <w:rPr>
                    <w:rFonts w:ascii="Cambria Math" w:eastAsiaTheme="minorEastAsia" w:hAnsi="Cambria Math" w:cstheme="minorHAnsi"/>
                    <w:color w:val="000000" w:themeColor="text1"/>
                    <w:sz w:val="20"/>
                    <w:szCs w:val="20"/>
                  </w:rPr>
                  <m:t>00%</m:t>
                </m:r>
              </m:oMath>
            </m:oMathPara>
          </w:p>
          <w:p w:rsidR="003340CC" w:rsidRPr="003340CC" w:rsidRDefault="003340CC" w:rsidP="005B6F52">
            <w:pPr>
              <w:jc w:val="both"/>
              <w:rPr>
                <w:rFonts w:ascii="Cambria" w:hAnsi="Cambria"/>
                <w:sz w:val="20"/>
                <w:szCs w:val="20"/>
              </w:rPr>
            </w:pPr>
          </w:p>
        </w:tc>
      </w:tr>
      <w:tr w:rsidR="003340CC" w:rsidRPr="003340CC" w:rsidTr="004D23F5">
        <w:tc>
          <w:tcPr>
            <w:tcW w:w="1980" w:type="dxa"/>
          </w:tcPr>
          <w:p w:rsidR="003340CC" w:rsidRPr="003340CC" w:rsidRDefault="003340CC" w:rsidP="005B6F52">
            <w:pPr>
              <w:tabs>
                <w:tab w:val="left" w:pos="900"/>
              </w:tabs>
              <w:jc w:val="both"/>
              <w:outlineLvl w:val="1"/>
              <w:rPr>
                <w:rFonts w:ascii="Cambria" w:hAnsi="Cambria"/>
                <w:sz w:val="20"/>
                <w:szCs w:val="20"/>
              </w:rPr>
            </w:pPr>
            <w:r w:rsidRPr="003340CC">
              <w:rPr>
                <w:rFonts w:ascii="Cambria" w:hAnsi="Cambria" w:cstheme="minorHAnsi"/>
                <w:i/>
                <w:color w:val="000000" w:themeColor="text1"/>
                <w:sz w:val="20"/>
                <w:szCs w:val="20"/>
              </w:rPr>
              <w:t xml:space="preserve">Ownership Concentration </w:t>
            </w:r>
            <w:r w:rsidRPr="003340CC">
              <w:rPr>
                <w:rFonts w:ascii="Cambria" w:hAnsi="Cambria" w:cstheme="minorHAnsi"/>
                <w:color w:val="000000" w:themeColor="text1"/>
                <w:sz w:val="20"/>
                <w:szCs w:val="20"/>
              </w:rPr>
              <w:t>(OC)</w:t>
            </w:r>
          </w:p>
        </w:tc>
        <w:tc>
          <w:tcPr>
            <w:tcW w:w="7081" w:type="dxa"/>
          </w:tcPr>
          <w:p w:rsidR="003340CC" w:rsidRPr="003340CC" w:rsidRDefault="003340CC" w:rsidP="005B6F52">
            <w:pPr>
              <w:tabs>
                <w:tab w:val="left" w:pos="900"/>
              </w:tabs>
              <w:jc w:val="both"/>
              <w:outlineLvl w:val="1"/>
              <w:rPr>
                <w:rFonts w:ascii="Cambria" w:hAnsi="Cambria" w:cstheme="minorHAnsi"/>
                <w:color w:val="000000" w:themeColor="text1"/>
                <w:sz w:val="20"/>
                <w:szCs w:val="20"/>
              </w:rPr>
            </w:pPr>
            <w:r w:rsidRPr="003340CC">
              <w:rPr>
                <w:rFonts w:ascii="Cambria" w:hAnsi="Cambria" w:cstheme="minorHAnsi"/>
                <w:color w:val="000000" w:themeColor="text1"/>
                <w:sz w:val="20"/>
                <w:szCs w:val="20"/>
              </w:rPr>
              <w:t>Total percentage of shareholding by the five largest shareholders</w:t>
            </w:r>
          </w:p>
          <w:p w:rsidR="003340CC" w:rsidRPr="003340CC" w:rsidRDefault="003340CC" w:rsidP="005B6F52">
            <w:pPr>
              <w:tabs>
                <w:tab w:val="left" w:pos="900"/>
              </w:tabs>
              <w:jc w:val="both"/>
              <w:outlineLvl w:val="1"/>
              <w:rPr>
                <w:rFonts w:ascii="Cambria" w:hAnsi="Cambria" w:cstheme="minorHAnsi"/>
                <w:color w:val="000000" w:themeColor="text1"/>
                <w:sz w:val="20"/>
                <w:szCs w:val="20"/>
              </w:rPr>
            </w:pPr>
          </w:p>
          <w:p w:rsidR="003340CC" w:rsidRPr="003340CC" w:rsidRDefault="003340CC" w:rsidP="005B6F52">
            <w:pPr>
              <w:tabs>
                <w:tab w:val="left" w:pos="900"/>
              </w:tabs>
              <w:jc w:val="both"/>
              <w:outlineLvl w:val="1"/>
              <w:rPr>
                <w:rFonts w:ascii="Cambria" w:hAnsi="Cambria" w:cstheme="minorHAnsi"/>
                <w:sz w:val="20"/>
                <w:szCs w:val="20"/>
              </w:rPr>
            </w:pPr>
            <m:oMathPara>
              <m:oMathParaPr>
                <m:jc m:val="left"/>
              </m:oMathParaPr>
              <m:oMath>
                <m:r>
                  <m:rPr>
                    <m:sty m:val="p"/>
                  </m:rPr>
                  <w:rPr>
                    <w:rFonts w:ascii="Cambria Math" w:hAnsi="Cambria Math" w:cstheme="minorHAnsi"/>
                    <w:sz w:val="20"/>
                    <w:szCs w:val="20"/>
                  </w:rPr>
                  <m:t>OC=</m:t>
                </m:r>
                <m:f>
                  <m:fPr>
                    <m:ctrlPr>
                      <w:rPr>
                        <w:rFonts w:ascii="Cambria Math" w:hAnsi="Cambria Math" w:cstheme="minorHAnsi"/>
                        <w:sz w:val="20"/>
                        <w:szCs w:val="20"/>
                      </w:rPr>
                    </m:ctrlPr>
                  </m:fPr>
                  <m:num>
                    <m:nary>
                      <m:naryPr>
                        <m:chr m:val="∑"/>
                        <m:limLoc m:val="undOvr"/>
                        <m:subHide m:val="1"/>
                        <m:supHide m:val="1"/>
                        <m:ctrlPr>
                          <w:rPr>
                            <w:rFonts w:ascii="Cambria Math" w:hAnsi="Cambria Math" w:cstheme="minorHAnsi"/>
                            <w:color w:val="000000" w:themeColor="text1"/>
                            <w:sz w:val="20"/>
                            <w:szCs w:val="20"/>
                          </w:rPr>
                        </m:ctrlPr>
                      </m:naryPr>
                      <m:sub/>
                      <m:sup/>
                      <m:e>
                        <m:r>
                          <m:rPr>
                            <m:sty m:val="p"/>
                          </m:rPr>
                          <w:rPr>
                            <w:rFonts w:ascii="Cambria Math" w:hAnsi="Cambria Math" w:cstheme="minorHAnsi"/>
                            <w:sz w:val="20"/>
                            <w:szCs w:val="20"/>
                          </w:rPr>
                          <m:t>saham yang dimiliki 5 pemegang saham terbanyak</m:t>
                        </m:r>
                      </m:e>
                    </m:nary>
                  </m:num>
                  <m:den>
                    <m:nary>
                      <m:naryPr>
                        <m:chr m:val="∑"/>
                        <m:limLoc m:val="undOvr"/>
                        <m:subHide m:val="1"/>
                        <m:supHide m:val="1"/>
                        <m:ctrlPr>
                          <w:rPr>
                            <w:rFonts w:ascii="Cambria Math" w:hAnsi="Cambria Math" w:cstheme="minorHAnsi"/>
                            <w:color w:val="000000" w:themeColor="text1"/>
                            <w:sz w:val="20"/>
                            <w:szCs w:val="20"/>
                          </w:rPr>
                        </m:ctrlPr>
                      </m:naryPr>
                      <m:sub/>
                      <m:sup/>
                      <m:e>
                        <m:r>
                          <m:rPr>
                            <m:sty m:val="p"/>
                          </m:rPr>
                          <w:rPr>
                            <w:rFonts w:ascii="Cambria Math" w:hAnsi="Cambria Math" w:cstheme="minorHAnsi"/>
                            <w:color w:val="000000" w:themeColor="text1"/>
                            <w:sz w:val="20"/>
                            <w:szCs w:val="20"/>
                          </w:rPr>
                          <m:t>saham yang beredar</m:t>
                        </m:r>
                      </m:e>
                    </m:nary>
                  </m:den>
                </m:f>
                <m:r>
                  <m:rPr>
                    <m:sty m:val="p"/>
                  </m:rPr>
                  <w:rPr>
                    <w:rFonts w:ascii="Cambria Math" w:hAnsi="Cambria Math" w:cstheme="minorHAnsi"/>
                    <w:sz w:val="20"/>
                    <w:szCs w:val="20"/>
                  </w:rPr>
                  <m:t>x 100%</m:t>
                </m:r>
              </m:oMath>
            </m:oMathPara>
          </w:p>
          <w:p w:rsidR="003340CC" w:rsidRPr="003340CC" w:rsidRDefault="003340CC" w:rsidP="005B6F52">
            <w:pPr>
              <w:tabs>
                <w:tab w:val="left" w:pos="900"/>
              </w:tabs>
              <w:jc w:val="both"/>
              <w:outlineLvl w:val="1"/>
              <w:rPr>
                <w:rFonts w:ascii="Cambria" w:hAnsi="Cambria" w:cstheme="minorHAnsi"/>
                <w:color w:val="000000" w:themeColor="text1"/>
                <w:sz w:val="20"/>
                <w:szCs w:val="20"/>
              </w:rPr>
            </w:pPr>
          </w:p>
        </w:tc>
      </w:tr>
      <w:tr w:rsidR="003340CC" w:rsidRPr="003340CC" w:rsidTr="004D23F5">
        <w:tc>
          <w:tcPr>
            <w:tcW w:w="1980" w:type="dxa"/>
          </w:tcPr>
          <w:p w:rsidR="003340CC" w:rsidRPr="003340CC" w:rsidRDefault="003340CC" w:rsidP="005B6F52">
            <w:pPr>
              <w:jc w:val="both"/>
              <w:rPr>
                <w:rFonts w:ascii="Cambria" w:hAnsi="Cambria"/>
                <w:sz w:val="20"/>
                <w:szCs w:val="20"/>
              </w:rPr>
            </w:pPr>
            <w:r w:rsidRPr="003340CC">
              <w:rPr>
                <w:rFonts w:ascii="Cambria" w:hAnsi="Cambria"/>
                <w:i/>
                <w:iCs/>
                <w:sz w:val="20"/>
                <w:szCs w:val="20"/>
              </w:rPr>
              <w:t xml:space="preserve">Blockholder's Ownership </w:t>
            </w:r>
            <w:r w:rsidRPr="003340CC">
              <w:rPr>
                <w:rFonts w:ascii="Cambria" w:hAnsi="Cambria"/>
                <w:sz w:val="20"/>
                <w:szCs w:val="20"/>
              </w:rPr>
              <w:t>(OB)</w:t>
            </w:r>
          </w:p>
        </w:tc>
        <w:tc>
          <w:tcPr>
            <w:tcW w:w="7081" w:type="dxa"/>
          </w:tcPr>
          <w:p w:rsidR="003340CC" w:rsidRPr="003340CC" w:rsidRDefault="003340CC" w:rsidP="005B6F52">
            <w:pPr>
              <w:jc w:val="both"/>
              <w:rPr>
                <w:rFonts w:ascii="Cambria" w:hAnsi="Cambria"/>
                <w:sz w:val="20"/>
                <w:szCs w:val="20"/>
              </w:rPr>
            </w:pPr>
            <w:r w:rsidRPr="003340CC">
              <w:rPr>
                <w:rFonts w:ascii="Cambria" w:hAnsi="Cambria"/>
                <w:sz w:val="20"/>
                <w:szCs w:val="20"/>
              </w:rPr>
              <w:t>Number of shares with ownership above 5%. The 5% value is based on SEC regulations which require companies to identify shareholders whose outstanding shares are greater than 5%.</w:t>
            </w:r>
          </w:p>
          <w:p w:rsidR="003340CC" w:rsidRPr="003340CC" w:rsidRDefault="003340CC" w:rsidP="005B6F52">
            <w:pPr>
              <w:jc w:val="both"/>
              <w:rPr>
                <w:rFonts w:ascii="Cambria" w:hAnsi="Cambria"/>
                <w:sz w:val="20"/>
                <w:szCs w:val="20"/>
              </w:rPr>
            </w:pPr>
          </w:p>
          <w:p w:rsidR="003340CC" w:rsidRPr="003340CC" w:rsidRDefault="003340CC" w:rsidP="005B6F52">
            <w:pPr>
              <w:jc w:val="both"/>
              <w:rPr>
                <w:rFonts w:ascii="Cambria" w:hAnsi="Cambria"/>
                <w:sz w:val="20"/>
                <w:szCs w:val="20"/>
              </w:rPr>
            </w:pPr>
            <m:oMathPara>
              <m:oMathParaPr>
                <m:jc m:val="left"/>
              </m:oMathParaPr>
              <m:oMath>
                <m:r>
                  <m:rPr>
                    <m:sty m:val="p"/>
                  </m:rPr>
                  <w:rPr>
                    <w:rFonts w:ascii="Cambria Math" w:hAnsi="Cambria Math" w:cstheme="minorHAnsi"/>
                    <w:sz w:val="20"/>
                    <w:szCs w:val="20"/>
                  </w:rPr>
                  <m:t>BO=</m:t>
                </m:r>
                <m:f>
                  <m:fPr>
                    <m:ctrlPr>
                      <w:rPr>
                        <w:rFonts w:ascii="Cambria Math" w:hAnsi="Cambria Math" w:cstheme="minorHAnsi"/>
                        <w:sz w:val="20"/>
                        <w:szCs w:val="20"/>
                      </w:rPr>
                    </m:ctrlPr>
                  </m:fPr>
                  <m:num>
                    <m:nary>
                      <m:naryPr>
                        <m:chr m:val="∑"/>
                        <m:limLoc m:val="undOvr"/>
                        <m:subHide m:val="1"/>
                        <m:supHide m:val="1"/>
                        <m:ctrlPr>
                          <w:rPr>
                            <w:rFonts w:ascii="Cambria Math" w:hAnsi="Cambria Math" w:cstheme="minorHAnsi"/>
                            <w:color w:val="000000" w:themeColor="text1"/>
                            <w:sz w:val="20"/>
                            <w:szCs w:val="20"/>
                          </w:rPr>
                        </m:ctrlPr>
                      </m:naryPr>
                      <m:sub/>
                      <m:sup/>
                      <m:e>
                        <m:r>
                          <m:rPr>
                            <m:sty m:val="p"/>
                          </m:rPr>
                          <w:rPr>
                            <w:rFonts w:ascii="Cambria Math" w:hAnsi="Cambria Math" w:cstheme="minorHAnsi"/>
                            <w:color w:val="000000" w:themeColor="text1"/>
                            <w:sz w:val="20"/>
                            <w:szCs w:val="20"/>
                          </w:rPr>
                          <m:t xml:space="preserve">saham </m:t>
                        </m:r>
                        <m:r>
                          <m:rPr>
                            <m:sty m:val="p"/>
                          </m:rPr>
                          <w:rPr>
                            <w:rFonts w:ascii="Cambria Math" w:hAnsi="Cambria Math" w:cstheme="minorHAnsi"/>
                            <w:sz w:val="20"/>
                            <w:szCs w:val="20"/>
                          </w:rPr>
                          <m:t>yang dimiliki pihak eksternal diatas 5%</m:t>
                        </m:r>
                      </m:e>
                    </m:nary>
                  </m:num>
                  <m:den>
                    <m:nary>
                      <m:naryPr>
                        <m:chr m:val="∑"/>
                        <m:limLoc m:val="undOvr"/>
                        <m:subHide m:val="1"/>
                        <m:supHide m:val="1"/>
                        <m:ctrlPr>
                          <w:rPr>
                            <w:rFonts w:ascii="Cambria Math" w:hAnsi="Cambria Math" w:cstheme="minorHAnsi"/>
                            <w:color w:val="000000" w:themeColor="text1"/>
                            <w:sz w:val="20"/>
                            <w:szCs w:val="20"/>
                          </w:rPr>
                        </m:ctrlPr>
                      </m:naryPr>
                      <m:sub/>
                      <m:sup/>
                      <m:e>
                        <m:r>
                          <m:rPr>
                            <m:sty m:val="p"/>
                          </m:rPr>
                          <w:rPr>
                            <w:rFonts w:ascii="Cambria Math" w:hAnsi="Cambria Math" w:cstheme="minorHAnsi"/>
                            <w:color w:val="000000" w:themeColor="text1"/>
                            <w:sz w:val="20"/>
                            <w:szCs w:val="20"/>
                          </w:rPr>
                          <m:t>saham yang beredar</m:t>
                        </m:r>
                      </m:e>
                    </m:nary>
                  </m:den>
                </m:f>
                <m:r>
                  <m:rPr>
                    <m:sty m:val="p"/>
                  </m:rPr>
                  <w:rPr>
                    <w:rFonts w:ascii="Cambria Math" w:hAnsi="Cambria Math" w:cstheme="minorHAnsi"/>
                    <w:sz w:val="20"/>
                    <w:szCs w:val="20"/>
                  </w:rPr>
                  <m:t>x 100%</m:t>
                </m:r>
              </m:oMath>
            </m:oMathPara>
          </w:p>
          <w:p w:rsidR="003340CC" w:rsidRPr="003340CC" w:rsidRDefault="003340CC" w:rsidP="005B6F52">
            <w:pPr>
              <w:jc w:val="both"/>
              <w:rPr>
                <w:rFonts w:ascii="Cambria" w:hAnsi="Cambria"/>
                <w:sz w:val="20"/>
                <w:szCs w:val="20"/>
              </w:rPr>
            </w:pPr>
          </w:p>
        </w:tc>
      </w:tr>
      <w:tr w:rsidR="003340CC" w:rsidRPr="003340CC" w:rsidTr="004D23F5">
        <w:tc>
          <w:tcPr>
            <w:tcW w:w="1980" w:type="dxa"/>
          </w:tcPr>
          <w:p w:rsidR="003340CC" w:rsidRPr="003340CC" w:rsidRDefault="003340CC" w:rsidP="005B6F52">
            <w:pPr>
              <w:jc w:val="both"/>
              <w:rPr>
                <w:rFonts w:ascii="Cambria" w:hAnsi="Cambria"/>
                <w:sz w:val="20"/>
                <w:szCs w:val="20"/>
              </w:rPr>
            </w:pPr>
            <w:r w:rsidRPr="003340CC">
              <w:rPr>
                <w:rFonts w:ascii="Cambria" w:hAnsi="Cambria"/>
                <w:sz w:val="20"/>
                <w:szCs w:val="20"/>
              </w:rPr>
              <w:t>Company Age (AGE)</w:t>
            </w:r>
          </w:p>
        </w:tc>
        <w:tc>
          <w:tcPr>
            <w:tcW w:w="7081" w:type="dxa"/>
          </w:tcPr>
          <w:p w:rsidR="003340CC" w:rsidRPr="003340CC" w:rsidRDefault="003340CC" w:rsidP="005B6F52">
            <w:pPr>
              <w:jc w:val="both"/>
              <w:rPr>
                <w:rFonts w:ascii="Cambria" w:hAnsi="Cambria"/>
                <w:sz w:val="20"/>
                <w:szCs w:val="20"/>
              </w:rPr>
            </w:pPr>
            <w:r w:rsidRPr="003340CC">
              <w:rPr>
                <w:rFonts w:ascii="Cambria" w:hAnsi="Cambria"/>
                <w:sz w:val="20"/>
                <w:szCs w:val="20"/>
              </w:rPr>
              <w:t>The number of years from the date of establishment to the year the annual report was issued</w:t>
            </w:r>
          </w:p>
          <w:p w:rsidR="003340CC" w:rsidRPr="003340CC" w:rsidRDefault="003340CC" w:rsidP="005B6F52">
            <w:pPr>
              <w:rPr>
                <w:rFonts w:ascii="Cambria" w:hAnsi="Cambria"/>
                <w:sz w:val="20"/>
                <w:szCs w:val="20"/>
              </w:rPr>
            </w:pPr>
          </w:p>
          <w:p w:rsidR="003340CC" w:rsidRPr="003340CC" w:rsidRDefault="003340CC" w:rsidP="005B6F52">
            <w:pPr>
              <w:rPr>
                <w:rFonts w:ascii="Cambria" w:hAnsi="Cambria" w:cstheme="minorHAnsi"/>
                <w:sz w:val="20"/>
                <w:szCs w:val="20"/>
              </w:rPr>
            </w:pPr>
            <m:oMathPara>
              <m:oMathParaPr>
                <m:jc m:val="left"/>
              </m:oMathParaPr>
              <m:oMath>
                <m:r>
                  <m:rPr>
                    <m:sty m:val="p"/>
                  </m:rPr>
                  <w:rPr>
                    <w:rFonts w:ascii="Cambria Math" w:hAnsi="Cambria Math" w:cstheme="minorHAnsi"/>
                    <w:sz w:val="20"/>
                    <w:szCs w:val="20"/>
                  </w:rPr>
                  <m:t>Age=Tahun laporan tahunan dikeluarkan-tahun berdiri</m:t>
                </m:r>
              </m:oMath>
            </m:oMathPara>
          </w:p>
          <w:p w:rsidR="003340CC" w:rsidRPr="003340CC" w:rsidRDefault="003340CC" w:rsidP="005B6F52">
            <w:pPr>
              <w:jc w:val="both"/>
              <w:rPr>
                <w:rFonts w:ascii="Cambria" w:hAnsi="Cambria"/>
                <w:sz w:val="20"/>
                <w:szCs w:val="20"/>
              </w:rPr>
            </w:pPr>
          </w:p>
        </w:tc>
      </w:tr>
      <w:tr w:rsidR="003340CC" w:rsidRPr="003340CC" w:rsidTr="004D23F5">
        <w:tc>
          <w:tcPr>
            <w:tcW w:w="1980" w:type="dxa"/>
          </w:tcPr>
          <w:p w:rsidR="003340CC" w:rsidRPr="003340CC" w:rsidRDefault="003340CC" w:rsidP="005B6F52">
            <w:pPr>
              <w:jc w:val="both"/>
              <w:rPr>
                <w:rFonts w:ascii="Cambria" w:hAnsi="Cambria"/>
                <w:sz w:val="20"/>
                <w:szCs w:val="20"/>
              </w:rPr>
            </w:pPr>
            <w:r w:rsidRPr="003340CC">
              <w:rPr>
                <w:rFonts w:ascii="Cambria" w:hAnsi="Cambria"/>
                <w:sz w:val="20"/>
                <w:szCs w:val="20"/>
              </w:rPr>
              <w:t>Company size (SIZE)</w:t>
            </w:r>
          </w:p>
        </w:tc>
        <w:tc>
          <w:tcPr>
            <w:tcW w:w="7081" w:type="dxa"/>
          </w:tcPr>
          <w:p w:rsidR="003340CC" w:rsidRPr="003340CC" w:rsidRDefault="003340CC" w:rsidP="005B6F52">
            <w:pPr>
              <w:jc w:val="both"/>
              <w:rPr>
                <w:rFonts w:ascii="Cambria" w:hAnsi="Cambria"/>
                <w:sz w:val="20"/>
                <w:szCs w:val="20"/>
              </w:rPr>
            </w:pPr>
            <w:r w:rsidRPr="003340CC">
              <w:rPr>
                <w:rFonts w:ascii="Cambria" w:hAnsi="Cambria"/>
                <w:sz w:val="20"/>
                <w:szCs w:val="20"/>
              </w:rPr>
              <w:t>Natural log of the total value of all assets.</w:t>
            </w:r>
          </w:p>
          <w:p w:rsidR="003340CC" w:rsidRPr="003340CC" w:rsidRDefault="003340CC" w:rsidP="005B6F52">
            <w:pPr>
              <w:jc w:val="both"/>
              <w:rPr>
                <w:rFonts w:ascii="Cambria" w:hAnsi="Cambria"/>
                <w:sz w:val="20"/>
                <w:szCs w:val="20"/>
              </w:rPr>
            </w:pPr>
          </w:p>
          <w:p w:rsidR="003340CC" w:rsidRPr="003340CC" w:rsidRDefault="003340CC" w:rsidP="005B6F52">
            <w:pPr>
              <w:jc w:val="both"/>
              <w:rPr>
                <w:rFonts w:ascii="Cambria" w:hAnsi="Cambria"/>
                <w:sz w:val="20"/>
                <w:szCs w:val="20"/>
              </w:rPr>
            </w:pPr>
            <w:r w:rsidRPr="003340CC">
              <w:rPr>
                <w:rFonts w:ascii="Cambria" w:hAnsi="Cambria"/>
                <w:sz w:val="20"/>
                <w:szCs w:val="20"/>
              </w:rPr>
              <w:t>Size=Log (Total Assets)</w:t>
            </w:r>
          </w:p>
          <w:p w:rsidR="003340CC" w:rsidRPr="003340CC" w:rsidRDefault="003340CC" w:rsidP="005B6F52">
            <w:pPr>
              <w:jc w:val="both"/>
              <w:rPr>
                <w:rFonts w:ascii="Cambria" w:hAnsi="Cambria"/>
                <w:sz w:val="20"/>
                <w:szCs w:val="20"/>
              </w:rPr>
            </w:pPr>
          </w:p>
        </w:tc>
      </w:tr>
    </w:tbl>
    <w:p w:rsidR="003340CC" w:rsidRPr="003340CC" w:rsidRDefault="003340CC" w:rsidP="003340CC">
      <w:pPr>
        <w:tabs>
          <w:tab w:val="left" w:pos="567"/>
        </w:tabs>
        <w:spacing w:after="0" w:line="240" w:lineRule="auto"/>
        <w:jc w:val="both"/>
        <w:rPr>
          <w:rFonts w:ascii="Cambria" w:eastAsia="Cambria" w:hAnsi="Cambria" w:cs="Cambria"/>
          <w:sz w:val="20"/>
          <w:szCs w:val="20"/>
        </w:rPr>
      </w:pPr>
    </w:p>
    <w:p w:rsidR="003340CC" w:rsidRPr="004D23F5" w:rsidRDefault="003340CC" w:rsidP="003340CC">
      <w:pPr>
        <w:tabs>
          <w:tab w:val="left" w:pos="567"/>
        </w:tabs>
        <w:spacing w:after="0" w:line="240" w:lineRule="auto"/>
        <w:jc w:val="both"/>
        <w:rPr>
          <w:rFonts w:ascii="Cambria" w:eastAsia="Cambria" w:hAnsi="Cambria" w:cs="Cambria"/>
          <w:b/>
          <w:bCs/>
          <w:sz w:val="20"/>
          <w:szCs w:val="20"/>
        </w:rPr>
      </w:pPr>
      <w:r w:rsidRPr="004D23F5">
        <w:rPr>
          <w:rFonts w:ascii="Cambria" w:eastAsia="Cambria" w:hAnsi="Cambria" w:cs="Cambria"/>
          <w:b/>
          <w:bCs/>
          <w:sz w:val="20"/>
          <w:szCs w:val="20"/>
        </w:rPr>
        <w:t>Method of collecting data</w:t>
      </w:r>
    </w:p>
    <w:p w:rsidR="003340CC" w:rsidRDefault="003340CC" w:rsidP="003340CC">
      <w:pPr>
        <w:tabs>
          <w:tab w:val="left" w:pos="567"/>
        </w:tabs>
        <w:spacing w:after="0" w:line="240" w:lineRule="auto"/>
        <w:jc w:val="both"/>
        <w:rPr>
          <w:rFonts w:ascii="Cambria" w:eastAsia="Cambria" w:hAnsi="Cambria" w:cs="Cambria"/>
          <w:sz w:val="20"/>
          <w:szCs w:val="20"/>
        </w:rPr>
      </w:pPr>
      <w:r w:rsidRPr="003340CC">
        <w:rPr>
          <w:rFonts w:ascii="Cambria" w:eastAsia="Cambria" w:hAnsi="Cambria" w:cs="Cambria"/>
          <w:sz w:val="20"/>
          <w:szCs w:val="20"/>
        </w:rPr>
        <w:t>The data collection method used is the documentation method. The secondary data used are annual reports and banking financial reports. Researchers obtained banking data that has been registered on the Indonesia Stock Exchange (IDX) through the website https://www.idx.co.id/. The data is then processed using IBM SPSS Statistics 25.</w:t>
      </w:r>
    </w:p>
    <w:p w:rsidR="003340CC" w:rsidRPr="003340CC" w:rsidRDefault="003340CC" w:rsidP="003340CC">
      <w:pPr>
        <w:tabs>
          <w:tab w:val="left" w:pos="567"/>
        </w:tabs>
        <w:spacing w:after="0" w:line="240" w:lineRule="auto"/>
        <w:jc w:val="both"/>
        <w:rPr>
          <w:rFonts w:ascii="Cambria" w:eastAsia="Cambria" w:hAnsi="Cambria" w:cs="Cambria"/>
          <w:sz w:val="20"/>
          <w:szCs w:val="20"/>
        </w:rPr>
      </w:pPr>
    </w:p>
    <w:p w:rsidR="003340CC" w:rsidRPr="004D23F5" w:rsidRDefault="003340CC" w:rsidP="003340CC">
      <w:pPr>
        <w:tabs>
          <w:tab w:val="left" w:pos="567"/>
        </w:tabs>
        <w:spacing w:after="0" w:line="240" w:lineRule="auto"/>
        <w:jc w:val="both"/>
        <w:rPr>
          <w:rFonts w:ascii="Cambria" w:eastAsia="Cambria" w:hAnsi="Cambria" w:cs="Cambria"/>
          <w:b/>
          <w:bCs/>
          <w:sz w:val="20"/>
          <w:szCs w:val="20"/>
        </w:rPr>
      </w:pPr>
      <w:r w:rsidRPr="004D23F5">
        <w:rPr>
          <w:rFonts w:ascii="Cambria" w:eastAsia="Cambria" w:hAnsi="Cambria" w:cs="Cambria"/>
          <w:b/>
          <w:bCs/>
          <w:sz w:val="20"/>
          <w:szCs w:val="20"/>
        </w:rPr>
        <w:lastRenderedPageBreak/>
        <w:t>Data analysis method</w:t>
      </w:r>
    </w:p>
    <w:p w:rsidR="003340CC" w:rsidRPr="003340CC" w:rsidRDefault="003340CC" w:rsidP="003340CC">
      <w:pPr>
        <w:tabs>
          <w:tab w:val="left" w:pos="567"/>
        </w:tabs>
        <w:spacing w:after="0" w:line="240" w:lineRule="auto"/>
        <w:jc w:val="both"/>
        <w:rPr>
          <w:rFonts w:ascii="Cambria" w:eastAsia="Cambria" w:hAnsi="Cambria" w:cs="Cambria"/>
          <w:sz w:val="20"/>
          <w:szCs w:val="20"/>
        </w:rPr>
      </w:pPr>
      <w:r w:rsidRPr="003340CC">
        <w:rPr>
          <w:rFonts w:ascii="Cambria" w:eastAsia="Cambria" w:hAnsi="Cambria" w:cs="Cambria"/>
          <w:sz w:val="20"/>
          <w:szCs w:val="20"/>
        </w:rPr>
        <w:t>Ordinal Logistic Regression analysis is used by researchers because the dependent variable audit quality is a non-metric variable in three categories. The following regression equation is used:</w:t>
      </w:r>
    </w:p>
    <w:p w:rsidR="003340CC" w:rsidRPr="003340CC" w:rsidRDefault="003340CC" w:rsidP="003340CC">
      <w:pPr>
        <w:tabs>
          <w:tab w:val="left" w:pos="567"/>
        </w:tabs>
        <w:spacing w:after="0" w:line="240" w:lineRule="auto"/>
        <w:jc w:val="both"/>
        <w:rPr>
          <w:rFonts w:ascii="Cambria" w:eastAsia="Cambria" w:hAnsi="Cambria" w:cs="Cambria"/>
          <w:sz w:val="20"/>
          <w:szCs w:val="20"/>
        </w:rPr>
      </w:pPr>
      <w:r w:rsidRPr="003340CC">
        <w:rPr>
          <w:rFonts w:ascii="Cambria" w:eastAsia="Cambria" w:hAnsi="Cambria" w:cs="Cambria"/>
          <w:sz w:val="20"/>
          <w:szCs w:val="20"/>
        </w:rPr>
        <w:t xml:space="preserve"> </w:t>
      </w:r>
    </w:p>
    <w:p w:rsidR="0094578E" w:rsidRDefault="003340CC" w:rsidP="003340CC">
      <w:pPr>
        <w:tabs>
          <w:tab w:val="left" w:pos="567"/>
        </w:tabs>
        <w:spacing w:after="0" w:line="240" w:lineRule="auto"/>
        <w:jc w:val="both"/>
        <w:rPr>
          <w:rFonts w:ascii="Cambria" w:eastAsia="Cambria" w:hAnsi="Cambria" w:cs="Cambria"/>
          <w:sz w:val="20"/>
          <w:szCs w:val="20"/>
        </w:rPr>
      </w:pPr>
      <w:r w:rsidRPr="003340CC">
        <w:rPr>
          <w:rFonts w:ascii="Cambria" w:eastAsia="Cambria" w:hAnsi="Cambria" w:cs="Cambria"/>
          <w:sz w:val="20"/>
          <w:szCs w:val="20"/>
        </w:rPr>
        <w:t>Researchers carried out additional analysis carried out by researchers for data for the 2010-2018 period. Researchers replaced the variable ownership concentration (OC) with blockholder ownership (BO). The two variables are the majority shareholders (large shareholders), it's just that the proxies are different. The following are the regression models used in this additional analysis:</w:t>
      </w:r>
    </w:p>
    <w:p w:rsidR="003340CC" w:rsidRDefault="003340CC" w:rsidP="003340CC">
      <w:pPr>
        <w:tabs>
          <w:tab w:val="left" w:pos="567"/>
        </w:tabs>
        <w:spacing w:after="0" w:line="240" w:lineRule="auto"/>
        <w:jc w:val="both"/>
        <w:rPr>
          <w:rFonts w:ascii="Cambria" w:eastAsia="Cambria" w:hAnsi="Cambria" w:cs="Cambria"/>
          <w:sz w:val="20"/>
          <w:szCs w:val="20"/>
        </w:rPr>
      </w:pPr>
      <w:r w:rsidRPr="004D1FA5">
        <w:rPr>
          <w:rFonts w:ascii="Book Antiqua" w:hAnsi="Book Antiqua"/>
          <w:noProof/>
        </w:rPr>
        <w:drawing>
          <wp:inline distT="0" distB="0" distL="0" distR="0" wp14:anchorId="79B59D9E" wp14:editId="476CAFDB">
            <wp:extent cx="2746508" cy="2862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31872" b="-32345"/>
                    <a:stretch/>
                  </pic:blipFill>
                  <pic:spPr bwMode="auto">
                    <a:xfrm>
                      <a:off x="0" y="0"/>
                      <a:ext cx="2751455" cy="286763"/>
                    </a:xfrm>
                    <a:prstGeom prst="rect">
                      <a:avLst/>
                    </a:prstGeom>
                    <a:noFill/>
                    <a:ln>
                      <a:noFill/>
                    </a:ln>
                    <a:extLst>
                      <a:ext uri="{53640926-AAD7-44D8-BBD7-CCE9431645EC}">
                        <a14:shadowObscured xmlns:a14="http://schemas.microsoft.com/office/drawing/2010/main"/>
                      </a:ext>
                    </a:extLst>
                  </pic:spPr>
                </pic:pic>
              </a:graphicData>
            </a:graphic>
          </wp:inline>
        </w:drawing>
      </w:r>
    </w:p>
    <w:p w:rsidR="0094578E" w:rsidRDefault="0094578E">
      <w:pPr>
        <w:tabs>
          <w:tab w:val="left" w:pos="567"/>
        </w:tabs>
        <w:spacing w:after="0" w:line="240" w:lineRule="auto"/>
        <w:jc w:val="both"/>
        <w:rPr>
          <w:rFonts w:ascii="Cambria" w:eastAsia="Cambria" w:hAnsi="Cambria" w:cs="Cambria"/>
          <w:sz w:val="20"/>
          <w:szCs w:val="20"/>
        </w:rPr>
      </w:pPr>
    </w:p>
    <w:p w:rsidR="0094578E" w:rsidRDefault="00000000">
      <w:pPr>
        <w:numPr>
          <w:ilvl w:val="0"/>
          <w:numId w:val="1"/>
        </w:numPr>
        <w:pBdr>
          <w:top w:val="nil"/>
          <w:left w:val="nil"/>
          <w:bottom w:val="nil"/>
          <w:right w:val="nil"/>
          <w:between w:val="nil"/>
        </w:pBdr>
        <w:tabs>
          <w:tab w:val="left" w:pos="567"/>
        </w:tabs>
        <w:spacing w:after="0" w:line="240" w:lineRule="auto"/>
        <w:ind w:hanging="720"/>
        <w:rPr>
          <w:rFonts w:ascii="Cambria" w:eastAsia="Cambria" w:hAnsi="Cambria" w:cs="Cambria"/>
          <w:b/>
          <w:color w:val="000000"/>
          <w:sz w:val="20"/>
          <w:szCs w:val="20"/>
        </w:rPr>
      </w:pPr>
      <w:r>
        <w:rPr>
          <w:rFonts w:ascii="Cambria" w:eastAsia="Cambria" w:hAnsi="Cambria" w:cs="Cambria"/>
          <w:b/>
          <w:color w:val="000000"/>
        </w:rPr>
        <w:t>RES</w:t>
      </w:r>
      <w:r w:rsidR="008B57B2">
        <w:rPr>
          <w:rFonts w:ascii="Cambria" w:eastAsia="Cambria" w:hAnsi="Cambria" w:cs="Cambria"/>
          <w:b/>
          <w:color w:val="000000"/>
        </w:rPr>
        <w:t>UL</w:t>
      </w:r>
      <w:r>
        <w:rPr>
          <w:rFonts w:ascii="Cambria" w:eastAsia="Cambria" w:hAnsi="Cambria" w:cs="Cambria"/>
          <w:b/>
          <w:color w:val="000000"/>
        </w:rPr>
        <w:t>T AND DISCUSSION</w:t>
      </w:r>
      <w:r>
        <w:rPr>
          <w:rFonts w:ascii="Cambria" w:eastAsia="Cambria" w:hAnsi="Cambria" w:cs="Cambria"/>
          <w:b/>
          <w:color w:val="000000"/>
          <w:sz w:val="20"/>
          <w:szCs w:val="20"/>
        </w:rPr>
        <w:t xml:space="preserve"> </w:t>
      </w:r>
    </w:p>
    <w:p w:rsidR="003340CC" w:rsidRPr="00C30601" w:rsidRDefault="003340CC" w:rsidP="003340CC">
      <w:pPr>
        <w:tabs>
          <w:tab w:val="left" w:pos="567"/>
        </w:tabs>
        <w:spacing w:after="0" w:line="240" w:lineRule="auto"/>
        <w:jc w:val="both"/>
        <w:rPr>
          <w:rFonts w:ascii="Cambria" w:eastAsia="Cambria" w:hAnsi="Cambria" w:cs="Cambria"/>
          <w:b/>
          <w:bCs/>
          <w:sz w:val="20"/>
          <w:szCs w:val="20"/>
        </w:rPr>
      </w:pPr>
      <w:r w:rsidRPr="00C30601">
        <w:rPr>
          <w:rFonts w:ascii="Cambria" w:eastAsia="Cambria" w:hAnsi="Cambria" w:cs="Cambria"/>
          <w:b/>
          <w:bCs/>
          <w:sz w:val="20"/>
          <w:szCs w:val="20"/>
        </w:rPr>
        <w:t>Descriptive statistics</w:t>
      </w:r>
    </w:p>
    <w:p w:rsidR="003340CC" w:rsidRPr="003340CC" w:rsidRDefault="003340CC" w:rsidP="003340CC">
      <w:pPr>
        <w:tabs>
          <w:tab w:val="left" w:pos="567"/>
        </w:tabs>
        <w:spacing w:after="0" w:line="240" w:lineRule="auto"/>
        <w:jc w:val="both"/>
        <w:rPr>
          <w:rFonts w:ascii="Cambria" w:eastAsia="Cambria" w:hAnsi="Cambria" w:cs="Cambria"/>
          <w:sz w:val="20"/>
          <w:szCs w:val="20"/>
        </w:rPr>
      </w:pPr>
    </w:p>
    <w:p w:rsidR="003340CC" w:rsidRPr="003340CC" w:rsidRDefault="003340CC" w:rsidP="00C30601">
      <w:pPr>
        <w:tabs>
          <w:tab w:val="left" w:pos="567"/>
        </w:tabs>
        <w:spacing w:after="0" w:line="240" w:lineRule="auto"/>
        <w:jc w:val="center"/>
        <w:rPr>
          <w:rFonts w:ascii="Cambria" w:eastAsia="Cambria" w:hAnsi="Cambria" w:cs="Cambria"/>
          <w:sz w:val="20"/>
          <w:szCs w:val="20"/>
        </w:rPr>
      </w:pPr>
      <w:r w:rsidRPr="003340CC">
        <w:rPr>
          <w:rFonts w:ascii="Cambria" w:eastAsia="Cambria" w:hAnsi="Cambria" w:cs="Cambria"/>
          <w:sz w:val="20"/>
          <w:szCs w:val="20"/>
        </w:rPr>
        <w:t>Table 2</w:t>
      </w:r>
      <w:r w:rsidR="00C30601">
        <w:rPr>
          <w:rFonts w:ascii="Cambria" w:eastAsia="Cambria" w:hAnsi="Cambria" w:cs="Cambria"/>
          <w:sz w:val="20"/>
          <w:szCs w:val="20"/>
        </w:rPr>
        <w:t xml:space="preserve"> </w:t>
      </w:r>
      <w:r w:rsidRPr="003340CC">
        <w:rPr>
          <w:rFonts w:ascii="Cambria" w:eastAsia="Cambria" w:hAnsi="Cambria" w:cs="Cambria"/>
          <w:sz w:val="20"/>
          <w:szCs w:val="20"/>
        </w:rPr>
        <w:t>Summary of Data Frequency 2010-2018</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524"/>
        <w:gridCol w:w="742"/>
        <w:gridCol w:w="1268"/>
        <w:gridCol w:w="962"/>
      </w:tblGrid>
      <w:tr w:rsidR="00C30601" w:rsidRPr="004D1FA5" w:rsidTr="004D23F5">
        <w:trPr>
          <w:jc w:val="center"/>
        </w:trPr>
        <w:tc>
          <w:tcPr>
            <w:tcW w:w="0" w:type="auto"/>
          </w:tcPr>
          <w:p w:rsidR="00C30601" w:rsidRPr="004D1FA5" w:rsidRDefault="00C30601" w:rsidP="005B6F52">
            <w:pPr>
              <w:jc w:val="both"/>
              <w:rPr>
                <w:rFonts w:ascii="Book Antiqua" w:hAnsi="Book Antiqua"/>
              </w:rPr>
            </w:pPr>
            <w:r w:rsidRPr="004D1FA5">
              <w:rPr>
                <w:rFonts w:ascii="Book Antiqua" w:hAnsi="Book Antiqua" w:cstheme="minorHAnsi"/>
                <w:b/>
              </w:rPr>
              <w:t>Category</w:t>
            </w:r>
          </w:p>
        </w:tc>
        <w:tc>
          <w:tcPr>
            <w:tcW w:w="0" w:type="auto"/>
          </w:tcPr>
          <w:p w:rsidR="00C30601" w:rsidRPr="004D1FA5" w:rsidRDefault="00C30601" w:rsidP="005B6F52">
            <w:pPr>
              <w:jc w:val="both"/>
              <w:rPr>
                <w:rFonts w:ascii="Book Antiqua" w:hAnsi="Book Antiqua"/>
              </w:rPr>
            </w:pPr>
            <w:r w:rsidRPr="004D1FA5">
              <w:rPr>
                <w:rFonts w:ascii="Book Antiqua" w:hAnsi="Book Antiqua" w:cstheme="minorHAnsi"/>
                <w:b/>
              </w:rPr>
              <w:t>Code</w:t>
            </w:r>
          </w:p>
        </w:tc>
        <w:tc>
          <w:tcPr>
            <w:tcW w:w="0" w:type="auto"/>
          </w:tcPr>
          <w:p w:rsidR="00C30601" w:rsidRPr="004D1FA5" w:rsidRDefault="00C30601" w:rsidP="005B6F52">
            <w:pPr>
              <w:jc w:val="both"/>
              <w:rPr>
                <w:rFonts w:ascii="Book Antiqua" w:hAnsi="Book Antiqua"/>
              </w:rPr>
            </w:pPr>
            <w:r w:rsidRPr="004D1FA5">
              <w:rPr>
                <w:rFonts w:ascii="Book Antiqua" w:hAnsi="Book Antiqua" w:cstheme="minorHAnsi"/>
                <w:b/>
              </w:rPr>
              <w:t>Frequency</w:t>
            </w:r>
          </w:p>
        </w:tc>
        <w:tc>
          <w:tcPr>
            <w:tcW w:w="0" w:type="auto"/>
            <w:vAlign w:val="center"/>
          </w:tcPr>
          <w:p w:rsidR="00C30601" w:rsidRPr="004D1FA5" w:rsidRDefault="00C30601" w:rsidP="005B6F52">
            <w:pPr>
              <w:jc w:val="both"/>
              <w:rPr>
                <w:rFonts w:ascii="Book Antiqua" w:hAnsi="Book Antiqua"/>
                <w:iCs/>
              </w:rPr>
            </w:pPr>
            <w:r w:rsidRPr="004D1FA5">
              <w:rPr>
                <w:rFonts w:ascii="Book Antiqua" w:hAnsi="Book Antiqua" w:cstheme="minorHAnsi"/>
                <w:b/>
                <w:iCs/>
              </w:rPr>
              <w:t>Percent</w:t>
            </w:r>
          </w:p>
        </w:tc>
      </w:tr>
      <w:tr w:rsidR="00C30601" w:rsidRPr="004D1FA5" w:rsidTr="004D23F5">
        <w:trPr>
          <w:jc w:val="center"/>
        </w:trPr>
        <w:tc>
          <w:tcPr>
            <w:tcW w:w="0" w:type="auto"/>
            <w:vAlign w:val="center"/>
          </w:tcPr>
          <w:p w:rsidR="00C30601" w:rsidRPr="004D1FA5" w:rsidRDefault="00C30601" w:rsidP="005B6F52">
            <w:pPr>
              <w:jc w:val="both"/>
              <w:rPr>
                <w:rFonts w:ascii="Book Antiqua" w:hAnsi="Book Antiqua" w:cstheme="minorHAnsi"/>
                <w:i/>
              </w:rPr>
            </w:pPr>
            <w:r w:rsidRPr="004D1FA5">
              <w:rPr>
                <w:rFonts w:ascii="Book Antiqua" w:hAnsi="Book Antiqua" w:cstheme="minorHAnsi"/>
                <w:i/>
              </w:rPr>
              <w:t>Non-Big -4</w:t>
            </w:r>
          </w:p>
          <w:p w:rsidR="00C30601" w:rsidRPr="004D1FA5" w:rsidRDefault="00C30601" w:rsidP="005B6F52">
            <w:pPr>
              <w:jc w:val="both"/>
              <w:rPr>
                <w:rFonts w:ascii="Book Antiqua" w:hAnsi="Book Antiqua"/>
              </w:rPr>
            </w:pPr>
            <w:r w:rsidRPr="004D1FA5">
              <w:rPr>
                <w:rFonts w:ascii="Book Antiqua" w:hAnsi="Book Antiqua" w:cstheme="minorHAnsi"/>
                <w:i/>
              </w:rPr>
              <w:t>(national)</w:t>
            </w:r>
          </w:p>
        </w:tc>
        <w:tc>
          <w:tcPr>
            <w:tcW w:w="0" w:type="auto"/>
          </w:tcPr>
          <w:p w:rsidR="00C30601" w:rsidRPr="004D1FA5" w:rsidRDefault="00C30601" w:rsidP="005B6F52">
            <w:pPr>
              <w:jc w:val="both"/>
              <w:rPr>
                <w:rFonts w:ascii="Book Antiqua" w:hAnsi="Book Antiqua"/>
              </w:rPr>
            </w:pPr>
            <w:r w:rsidRPr="004D1FA5">
              <w:rPr>
                <w:rFonts w:ascii="Book Antiqua" w:hAnsi="Book Antiqua" w:cstheme="minorHAnsi"/>
              </w:rPr>
              <w:t>0</w:t>
            </w:r>
          </w:p>
        </w:tc>
        <w:tc>
          <w:tcPr>
            <w:tcW w:w="0" w:type="auto"/>
            <w:vAlign w:val="center"/>
          </w:tcPr>
          <w:p w:rsidR="00C30601" w:rsidRPr="004D1FA5" w:rsidRDefault="00C30601" w:rsidP="005B6F52">
            <w:pPr>
              <w:jc w:val="both"/>
              <w:rPr>
                <w:rFonts w:ascii="Book Antiqua" w:hAnsi="Book Antiqua"/>
              </w:rPr>
            </w:pPr>
            <w:r w:rsidRPr="004D1FA5">
              <w:rPr>
                <w:rFonts w:ascii="Book Antiqua" w:hAnsi="Book Antiqua" w:cstheme="minorHAnsi"/>
              </w:rPr>
              <w:t>9</w:t>
            </w:r>
          </w:p>
        </w:tc>
        <w:tc>
          <w:tcPr>
            <w:tcW w:w="0" w:type="auto"/>
            <w:vAlign w:val="center"/>
          </w:tcPr>
          <w:p w:rsidR="00C30601" w:rsidRPr="004D1FA5" w:rsidRDefault="00C30601" w:rsidP="005B6F52">
            <w:pPr>
              <w:jc w:val="both"/>
              <w:rPr>
                <w:rFonts w:ascii="Book Antiqua" w:hAnsi="Book Antiqua"/>
              </w:rPr>
            </w:pPr>
            <w:r w:rsidRPr="004D1FA5">
              <w:rPr>
                <w:rFonts w:ascii="Book Antiqua" w:hAnsi="Book Antiqua" w:cstheme="minorHAnsi"/>
              </w:rPr>
              <w:t>2.3%</w:t>
            </w:r>
          </w:p>
        </w:tc>
      </w:tr>
      <w:tr w:rsidR="00C30601" w:rsidRPr="004D1FA5" w:rsidTr="004D23F5">
        <w:trPr>
          <w:jc w:val="center"/>
        </w:trPr>
        <w:tc>
          <w:tcPr>
            <w:tcW w:w="0" w:type="auto"/>
            <w:vAlign w:val="center"/>
          </w:tcPr>
          <w:p w:rsidR="00C30601" w:rsidRPr="004D1FA5" w:rsidRDefault="00C30601" w:rsidP="005B6F52">
            <w:pPr>
              <w:jc w:val="both"/>
              <w:rPr>
                <w:rFonts w:ascii="Book Antiqua" w:hAnsi="Book Antiqua" w:cstheme="minorHAnsi"/>
                <w:i/>
              </w:rPr>
            </w:pPr>
            <w:r w:rsidRPr="004D1FA5">
              <w:rPr>
                <w:rFonts w:ascii="Book Antiqua" w:hAnsi="Book Antiqua" w:cstheme="minorHAnsi"/>
                <w:i/>
              </w:rPr>
              <w:t>Non-Big -4</w:t>
            </w:r>
          </w:p>
          <w:p w:rsidR="00C30601" w:rsidRPr="004D1FA5" w:rsidRDefault="00C30601" w:rsidP="005B6F52">
            <w:pPr>
              <w:jc w:val="both"/>
              <w:rPr>
                <w:rFonts w:ascii="Book Antiqua" w:hAnsi="Book Antiqua"/>
              </w:rPr>
            </w:pPr>
            <w:r w:rsidRPr="004D1FA5">
              <w:rPr>
                <w:rFonts w:ascii="Book Antiqua" w:hAnsi="Book Antiqua" w:cstheme="minorHAnsi"/>
                <w:i/>
              </w:rPr>
              <w:t>(international)</w:t>
            </w:r>
          </w:p>
        </w:tc>
        <w:tc>
          <w:tcPr>
            <w:tcW w:w="0" w:type="auto"/>
          </w:tcPr>
          <w:p w:rsidR="00C30601" w:rsidRPr="004D1FA5" w:rsidRDefault="00C30601" w:rsidP="005B6F52">
            <w:pPr>
              <w:jc w:val="both"/>
              <w:rPr>
                <w:rFonts w:ascii="Book Antiqua" w:hAnsi="Book Antiqua"/>
              </w:rPr>
            </w:pPr>
            <w:r w:rsidRPr="004D1FA5">
              <w:rPr>
                <w:rFonts w:ascii="Book Antiqua" w:hAnsi="Book Antiqua" w:cstheme="minorHAnsi"/>
              </w:rPr>
              <w:t>1</w:t>
            </w:r>
          </w:p>
        </w:tc>
        <w:tc>
          <w:tcPr>
            <w:tcW w:w="0" w:type="auto"/>
            <w:vAlign w:val="center"/>
          </w:tcPr>
          <w:p w:rsidR="00C30601" w:rsidRPr="004D1FA5" w:rsidRDefault="00C30601" w:rsidP="005B6F52">
            <w:pPr>
              <w:jc w:val="both"/>
              <w:rPr>
                <w:rFonts w:ascii="Book Antiqua" w:hAnsi="Book Antiqua"/>
              </w:rPr>
            </w:pPr>
            <w:r w:rsidRPr="004D1FA5">
              <w:rPr>
                <w:rFonts w:ascii="Book Antiqua" w:hAnsi="Book Antiqua" w:cstheme="minorHAnsi"/>
              </w:rPr>
              <w:t>137</w:t>
            </w:r>
          </w:p>
        </w:tc>
        <w:tc>
          <w:tcPr>
            <w:tcW w:w="0" w:type="auto"/>
            <w:vAlign w:val="center"/>
          </w:tcPr>
          <w:p w:rsidR="00C30601" w:rsidRPr="004D1FA5" w:rsidRDefault="00C30601" w:rsidP="005B6F52">
            <w:pPr>
              <w:jc w:val="both"/>
              <w:rPr>
                <w:rFonts w:ascii="Book Antiqua" w:hAnsi="Book Antiqua"/>
              </w:rPr>
            </w:pPr>
            <w:r w:rsidRPr="004D1FA5">
              <w:rPr>
                <w:rFonts w:ascii="Book Antiqua" w:hAnsi="Book Antiqua" w:cstheme="minorHAnsi"/>
              </w:rPr>
              <w:t>35.5%</w:t>
            </w:r>
          </w:p>
        </w:tc>
      </w:tr>
      <w:tr w:rsidR="00C30601" w:rsidRPr="004D1FA5" w:rsidTr="004D23F5">
        <w:trPr>
          <w:jc w:val="center"/>
        </w:trPr>
        <w:tc>
          <w:tcPr>
            <w:tcW w:w="0" w:type="auto"/>
            <w:vAlign w:val="center"/>
          </w:tcPr>
          <w:p w:rsidR="00C30601" w:rsidRPr="004D1FA5" w:rsidRDefault="00C30601" w:rsidP="005B6F52">
            <w:pPr>
              <w:jc w:val="both"/>
              <w:rPr>
                <w:rFonts w:ascii="Book Antiqua" w:hAnsi="Book Antiqua"/>
              </w:rPr>
            </w:pPr>
            <w:r w:rsidRPr="004D1FA5">
              <w:rPr>
                <w:rFonts w:ascii="Book Antiqua" w:hAnsi="Book Antiqua" w:cstheme="minorHAnsi"/>
                <w:i/>
              </w:rPr>
              <w:t>Big-4</w:t>
            </w:r>
          </w:p>
        </w:tc>
        <w:tc>
          <w:tcPr>
            <w:tcW w:w="0" w:type="auto"/>
          </w:tcPr>
          <w:p w:rsidR="00C30601" w:rsidRPr="004D1FA5" w:rsidRDefault="00C30601" w:rsidP="005B6F52">
            <w:pPr>
              <w:jc w:val="both"/>
              <w:rPr>
                <w:rFonts w:ascii="Book Antiqua" w:hAnsi="Book Antiqua"/>
              </w:rPr>
            </w:pPr>
            <w:r w:rsidRPr="004D1FA5">
              <w:rPr>
                <w:rFonts w:ascii="Book Antiqua" w:hAnsi="Book Antiqua" w:cstheme="minorHAnsi"/>
              </w:rPr>
              <w:t>2</w:t>
            </w:r>
          </w:p>
        </w:tc>
        <w:tc>
          <w:tcPr>
            <w:tcW w:w="0" w:type="auto"/>
            <w:vAlign w:val="center"/>
          </w:tcPr>
          <w:p w:rsidR="00C30601" w:rsidRPr="004D1FA5" w:rsidRDefault="00C30601" w:rsidP="005B6F52">
            <w:pPr>
              <w:jc w:val="both"/>
              <w:rPr>
                <w:rFonts w:ascii="Book Antiqua" w:hAnsi="Book Antiqua"/>
              </w:rPr>
            </w:pPr>
            <w:r w:rsidRPr="004D1FA5">
              <w:rPr>
                <w:rFonts w:ascii="Book Antiqua" w:hAnsi="Book Antiqua" w:cstheme="minorHAnsi"/>
              </w:rPr>
              <w:t>240</w:t>
            </w:r>
          </w:p>
        </w:tc>
        <w:tc>
          <w:tcPr>
            <w:tcW w:w="0" w:type="auto"/>
            <w:vAlign w:val="center"/>
          </w:tcPr>
          <w:p w:rsidR="00C30601" w:rsidRPr="004D1FA5" w:rsidRDefault="00C30601" w:rsidP="005B6F52">
            <w:pPr>
              <w:jc w:val="both"/>
              <w:rPr>
                <w:rFonts w:ascii="Book Antiqua" w:hAnsi="Book Antiqua"/>
              </w:rPr>
            </w:pPr>
            <w:r w:rsidRPr="004D1FA5">
              <w:rPr>
                <w:rFonts w:ascii="Book Antiqua" w:hAnsi="Book Antiqua" w:cstheme="minorHAnsi"/>
              </w:rPr>
              <w:t>62.6%</w:t>
            </w:r>
          </w:p>
        </w:tc>
      </w:tr>
    </w:tbl>
    <w:p w:rsidR="00C30601" w:rsidRDefault="00C30601" w:rsidP="003340CC">
      <w:pPr>
        <w:tabs>
          <w:tab w:val="left" w:pos="567"/>
        </w:tabs>
        <w:spacing w:after="0" w:line="240" w:lineRule="auto"/>
        <w:jc w:val="both"/>
        <w:rPr>
          <w:rFonts w:ascii="Cambria" w:eastAsia="Cambria" w:hAnsi="Cambria" w:cs="Cambria"/>
          <w:sz w:val="20"/>
          <w:szCs w:val="20"/>
        </w:rPr>
      </w:pPr>
    </w:p>
    <w:p w:rsidR="003340CC" w:rsidRPr="003340CC" w:rsidRDefault="003340CC" w:rsidP="003340CC">
      <w:pPr>
        <w:tabs>
          <w:tab w:val="left" w:pos="567"/>
        </w:tabs>
        <w:spacing w:after="0" w:line="240" w:lineRule="auto"/>
        <w:jc w:val="both"/>
        <w:rPr>
          <w:rFonts w:ascii="Cambria" w:eastAsia="Cambria" w:hAnsi="Cambria" w:cs="Cambria"/>
          <w:sz w:val="20"/>
          <w:szCs w:val="20"/>
        </w:rPr>
      </w:pPr>
      <w:r w:rsidRPr="003340CC">
        <w:rPr>
          <w:rFonts w:ascii="Cambria" w:eastAsia="Cambria" w:hAnsi="Cambria" w:cs="Cambria"/>
          <w:sz w:val="20"/>
          <w:szCs w:val="20"/>
        </w:rPr>
        <w:t>The total sample banks processed in 2010-2018 were 386 banks. The sample was divided into three categories: 9 banks using local auditors, 137 banks using auditors affiliated with international auditors and 240 banks using Big-4 auditors.</w:t>
      </w:r>
    </w:p>
    <w:p w:rsidR="003340CC" w:rsidRPr="003340CC" w:rsidRDefault="003340CC" w:rsidP="003340CC">
      <w:pPr>
        <w:tabs>
          <w:tab w:val="left" w:pos="567"/>
        </w:tabs>
        <w:spacing w:after="0" w:line="240" w:lineRule="auto"/>
        <w:jc w:val="both"/>
        <w:rPr>
          <w:rFonts w:ascii="Cambria" w:eastAsia="Cambria" w:hAnsi="Cambria" w:cs="Cambria"/>
          <w:sz w:val="20"/>
          <w:szCs w:val="20"/>
        </w:rPr>
      </w:pPr>
      <w:r w:rsidRPr="003340CC">
        <w:rPr>
          <w:rFonts w:ascii="Cambria" w:eastAsia="Cambria" w:hAnsi="Cambria" w:cs="Cambria"/>
          <w:sz w:val="20"/>
          <w:szCs w:val="20"/>
        </w:rPr>
        <w:t xml:space="preserve"> </w:t>
      </w:r>
    </w:p>
    <w:p w:rsidR="003340CC" w:rsidRPr="003340CC" w:rsidRDefault="003340CC" w:rsidP="00C30601">
      <w:pPr>
        <w:tabs>
          <w:tab w:val="left" w:pos="567"/>
        </w:tabs>
        <w:spacing w:after="0" w:line="240" w:lineRule="auto"/>
        <w:jc w:val="center"/>
        <w:rPr>
          <w:rFonts w:ascii="Cambria" w:eastAsia="Cambria" w:hAnsi="Cambria" w:cs="Cambria"/>
          <w:sz w:val="20"/>
          <w:szCs w:val="20"/>
        </w:rPr>
      </w:pPr>
      <w:r w:rsidRPr="003340CC">
        <w:rPr>
          <w:rFonts w:ascii="Cambria" w:eastAsia="Cambria" w:hAnsi="Cambria" w:cs="Cambria"/>
          <w:sz w:val="20"/>
          <w:szCs w:val="20"/>
        </w:rPr>
        <w:t>Table 3</w:t>
      </w:r>
    </w:p>
    <w:tbl>
      <w:tblPr>
        <w:tblStyle w:val="PlainTable2"/>
        <w:tblW w:w="5000" w:type="pct"/>
        <w:tblBorders>
          <w:insideH w:val="single" w:sz="4" w:space="0" w:color="7F7F7F" w:themeColor="text1" w:themeTint="80"/>
          <w:insideV w:val="single" w:sz="4" w:space="0" w:color="7F7F7F" w:themeColor="text1" w:themeTint="80"/>
        </w:tblBorders>
        <w:tblLook w:val="0000" w:firstRow="0" w:lastRow="0" w:firstColumn="0" w:lastColumn="0" w:noHBand="0" w:noVBand="0"/>
      </w:tblPr>
      <w:tblGrid>
        <w:gridCol w:w="1381"/>
        <w:gridCol w:w="791"/>
        <w:gridCol w:w="1621"/>
        <w:gridCol w:w="1670"/>
        <w:gridCol w:w="1414"/>
        <w:gridCol w:w="2150"/>
      </w:tblGrid>
      <w:tr w:rsidR="00C30601" w:rsidRPr="004D1FA5" w:rsidTr="004D23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65" w:type="pct"/>
            <w:tcBorders>
              <w:top w:val="none" w:sz="0" w:space="0" w:color="auto"/>
              <w:left w:val="none" w:sz="0" w:space="0" w:color="auto"/>
              <w:bottom w:val="none" w:sz="0" w:space="0" w:color="auto"/>
              <w:right w:val="none" w:sz="0" w:space="0" w:color="auto"/>
            </w:tcBorders>
          </w:tcPr>
          <w:p w:rsidR="00C30601" w:rsidRPr="004D1FA5" w:rsidRDefault="00C30601" w:rsidP="005B6F52">
            <w:pPr>
              <w:autoSpaceDE w:val="0"/>
              <w:autoSpaceDN w:val="0"/>
              <w:adjustRightInd w:val="0"/>
              <w:jc w:val="center"/>
              <w:rPr>
                <w:rFonts w:ascii="Book Antiqua" w:hAnsi="Book Antiqua" w:cstheme="minorHAnsi"/>
                <w:b/>
              </w:rPr>
            </w:pPr>
            <w:r w:rsidRPr="004D1FA5">
              <w:rPr>
                <w:rFonts w:ascii="Book Antiqua" w:hAnsi="Book Antiqua" w:cstheme="minorHAnsi"/>
                <w:b/>
              </w:rPr>
              <w:t>Variable</w:t>
            </w:r>
          </w:p>
        </w:tc>
        <w:tc>
          <w:tcPr>
            <w:cnfStyle w:val="000001000000" w:firstRow="0" w:lastRow="0" w:firstColumn="0" w:lastColumn="0" w:oddVBand="0" w:evenVBand="1" w:oddHBand="0" w:evenHBand="0" w:firstRowFirstColumn="0" w:firstRowLastColumn="0" w:lastRowFirstColumn="0" w:lastRowLastColumn="0"/>
            <w:tcW w:w="438" w:type="pct"/>
            <w:tcBorders>
              <w:top w:val="none" w:sz="0" w:space="0" w:color="auto"/>
              <w:left w:val="none" w:sz="0" w:space="0" w:color="auto"/>
              <w:bottom w:val="none" w:sz="0" w:space="0" w:color="auto"/>
              <w:right w:val="none" w:sz="0" w:space="0" w:color="auto"/>
            </w:tcBorders>
          </w:tcPr>
          <w:p w:rsidR="00C30601" w:rsidRPr="004D1FA5" w:rsidRDefault="00C30601" w:rsidP="005B6F52">
            <w:pPr>
              <w:autoSpaceDE w:val="0"/>
              <w:autoSpaceDN w:val="0"/>
              <w:adjustRightInd w:val="0"/>
              <w:ind w:right="60"/>
              <w:jc w:val="center"/>
              <w:rPr>
                <w:rFonts w:ascii="Book Antiqua" w:hAnsi="Book Antiqua" w:cstheme="minorHAnsi"/>
                <w:b/>
              </w:rPr>
            </w:pPr>
            <w:r w:rsidRPr="004D1FA5">
              <w:rPr>
                <w:rFonts w:ascii="Book Antiqua" w:hAnsi="Book Antiqua" w:cstheme="minorHAnsi"/>
                <w:b/>
              </w:rPr>
              <w:t>N</w:t>
            </w:r>
          </w:p>
        </w:tc>
        <w:tc>
          <w:tcPr>
            <w:cnfStyle w:val="000010000000" w:firstRow="0" w:lastRow="0" w:firstColumn="0" w:lastColumn="0" w:oddVBand="1" w:evenVBand="0" w:oddHBand="0" w:evenHBand="0" w:firstRowFirstColumn="0" w:firstRowLastColumn="0" w:lastRowFirstColumn="0" w:lastRowLastColumn="0"/>
            <w:tcW w:w="898" w:type="pct"/>
            <w:tcBorders>
              <w:top w:val="none" w:sz="0" w:space="0" w:color="auto"/>
              <w:left w:val="none" w:sz="0" w:space="0" w:color="auto"/>
              <w:bottom w:val="none" w:sz="0" w:space="0" w:color="auto"/>
              <w:right w:val="none" w:sz="0" w:space="0" w:color="auto"/>
            </w:tcBorders>
          </w:tcPr>
          <w:p w:rsidR="00C30601" w:rsidRPr="004D1FA5" w:rsidRDefault="00C30601" w:rsidP="005B6F52">
            <w:pPr>
              <w:autoSpaceDE w:val="0"/>
              <w:autoSpaceDN w:val="0"/>
              <w:adjustRightInd w:val="0"/>
              <w:ind w:right="60"/>
              <w:jc w:val="center"/>
              <w:rPr>
                <w:rFonts w:ascii="Book Antiqua" w:hAnsi="Book Antiqua" w:cstheme="minorHAnsi"/>
                <w:b/>
                <w:i/>
              </w:rPr>
            </w:pPr>
            <w:r w:rsidRPr="004D1FA5">
              <w:rPr>
                <w:rFonts w:ascii="Book Antiqua" w:hAnsi="Book Antiqua" w:cstheme="minorHAnsi"/>
                <w:b/>
                <w:i/>
              </w:rPr>
              <w:t>Minimum</w:t>
            </w:r>
          </w:p>
        </w:tc>
        <w:tc>
          <w:tcPr>
            <w:cnfStyle w:val="000001000000" w:firstRow="0" w:lastRow="0" w:firstColumn="0" w:lastColumn="0" w:oddVBand="0" w:evenVBand="1" w:oddHBand="0" w:evenHBand="0" w:firstRowFirstColumn="0" w:firstRowLastColumn="0" w:lastRowFirstColumn="0" w:lastRowLastColumn="0"/>
            <w:tcW w:w="925" w:type="pct"/>
            <w:tcBorders>
              <w:top w:val="none" w:sz="0" w:space="0" w:color="auto"/>
              <w:left w:val="none" w:sz="0" w:space="0" w:color="auto"/>
              <w:bottom w:val="none" w:sz="0" w:space="0" w:color="auto"/>
              <w:right w:val="none" w:sz="0" w:space="0" w:color="auto"/>
            </w:tcBorders>
          </w:tcPr>
          <w:p w:rsidR="00C30601" w:rsidRPr="004D1FA5" w:rsidRDefault="00C30601" w:rsidP="005B6F52">
            <w:pPr>
              <w:autoSpaceDE w:val="0"/>
              <w:autoSpaceDN w:val="0"/>
              <w:adjustRightInd w:val="0"/>
              <w:ind w:right="60"/>
              <w:jc w:val="center"/>
              <w:rPr>
                <w:rFonts w:ascii="Book Antiqua" w:hAnsi="Book Antiqua" w:cstheme="minorHAnsi"/>
                <w:b/>
                <w:i/>
              </w:rPr>
            </w:pPr>
            <w:r w:rsidRPr="004D1FA5">
              <w:rPr>
                <w:rFonts w:ascii="Book Antiqua" w:hAnsi="Book Antiqua" w:cstheme="minorHAnsi"/>
                <w:b/>
                <w:i/>
              </w:rPr>
              <w:t>Maximum</w:t>
            </w:r>
          </w:p>
        </w:tc>
        <w:tc>
          <w:tcPr>
            <w:cnfStyle w:val="000010000000" w:firstRow="0" w:lastRow="0" w:firstColumn="0" w:lastColumn="0" w:oddVBand="1" w:evenVBand="0" w:oddHBand="0" w:evenHBand="0" w:firstRowFirstColumn="0" w:firstRowLastColumn="0" w:lastRowFirstColumn="0" w:lastRowLastColumn="0"/>
            <w:tcW w:w="783" w:type="pct"/>
            <w:tcBorders>
              <w:top w:val="none" w:sz="0" w:space="0" w:color="auto"/>
              <w:left w:val="none" w:sz="0" w:space="0" w:color="auto"/>
              <w:bottom w:val="none" w:sz="0" w:space="0" w:color="auto"/>
              <w:right w:val="none" w:sz="0" w:space="0" w:color="auto"/>
            </w:tcBorders>
          </w:tcPr>
          <w:p w:rsidR="00C30601" w:rsidRPr="004D1FA5" w:rsidRDefault="00C30601" w:rsidP="005B6F52">
            <w:pPr>
              <w:autoSpaceDE w:val="0"/>
              <w:autoSpaceDN w:val="0"/>
              <w:adjustRightInd w:val="0"/>
              <w:ind w:right="60"/>
              <w:jc w:val="center"/>
              <w:rPr>
                <w:rFonts w:ascii="Book Antiqua" w:hAnsi="Book Antiqua" w:cstheme="minorHAnsi"/>
                <w:b/>
                <w:i/>
              </w:rPr>
            </w:pPr>
            <w:r w:rsidRPr="004D1FA5">
              <w:rPr>
                <w:rFonts w:ascii="Book Antiqua" w:hAnsi="Book Antiqua" w:cstheme="minorHAnsi"/>
                <w:b/>
                <w:i/>
              </w:rPr>
              <w:t>Means</w:t>
            </w:r>
          </w:p>
        </w:tc>
        <w:tc>
          <w:tcPr>
            <w:cnfStyle w:val="000001000000" w:firstRow="0" w:lastRow="0" w:firstColumn="0" w:lastColumn="0" w:oddVBand="0" w:evenVBand="1" w:oddHBand="0" w:evenHBand="0" w:firstRowFirstColumn="0" w:firstRowLastColumn="0" w:lastRowFirstColumn="0" w:lastRowLastColumn="0"/>
            <w:tcW w:w="1191" w:type="pct"/>
            <w:tcBorders>
              <w:top w:val="none" w:sz="0" w:space="0" w:color="auto"/>
              <w:left w:val="none" w:sz="0" w:space="0" w:color="auto"/>
              <w:bottom w:val="none" w:sz="0" w:space="0" w:color="auto"/>
              <w:right w:val="none" w:sz="0" w:space="0" w:color="auto"/>
            </w:tcBorders>
          </w:tcPr>
          <w:p w:rsidR="00C30601" w:rsidRPr="004D1FA5" w:rsidRDefault="00C30601" w:rsidP="005B6F52">
            <w:pPr>
              <w:autoSpaceDE w:val="0"/>
              <w:autoSpaceDN w:val="0"/>
              <w:adjustRightInd w:val="0"/>
              <w:ind w:right="60"/>
              <w:jc w:val="center"/>
              <w:rPr>
                <w:rFonts w:ascii="Book Antiqua" w:hAnsi="Book Antiqua" w:cstheme="minorHAnsi"/>
                <w:b/>
                <w:i/>
              </w:rPr>
            </w:pPr>
            <w:r w:rsidRPr="004D1FA5">
              <w:rPr>
                <w:rFonts w:ascii="Book Antiqua" w:hAnsi="Book Antiqua" w:cstheme="minorHAnsi"/>
                <w:b/>
                <w:i/>
              </w:rPr>
              <w:t>Standard Deviations</w:t>
            </w:r>
          </w:p>
        </w:tc>
      </w:tr>
      <w:tr w:rsidR="00C30601" w:rsidRPr="004D1FA5" w:rsidTr="004D23F5">
        <w:tc>
          <w:tcPr>
            <w:cnfStyle w:val="000010000000" w:firstRow="0" w:lastRow="0" w:firstColumn="0" w:lastColumn="0" w:oddVBand="1" w:evenVBand="0" w:oddHBand="0" w:evenHBand="0" w:firstRowFirstColumn="0" w:firstRowLastColumn="0" w:lastRowFirstColumn="0" w:lastRowLastColumn="0"/>
            <w:tcW w:w="765" w:type="pct"/>
            <w:tcBorders>
              <w:left w:val="none" w:sz="0" w:space="0" w:color="auto"/>
              <w:right w:val="none" w:sz="0" w:space="0" w:color="auto"/>
            </w:tcBorders>
          </w:tcPr>
          <w:p w:rsidR="00C30601" w:rsidRPr="004D1FA5" w:rsidRDefault="00C30601" w:rsidP="005B6F52">
            <w:pPr>
              <w:autoSpaceDE w:val="0"/>
              <w:autoSpaceDN w:val="0"/>
              <w:adjustRightInd w:val="0"/>
              <w:ind w:right="60"/>
              <w:rPr>
                <w:rFonts w:ascii="Book Antiqua" w:hAnsi="Book Antiqua" w:cstheme="minorHAnsi"/>
              </w:rPr>
            </w:pPr>
            <w:r w:rsidRPr="004D1FA5">
              <w:rPr>
                <w:rFonts w:ascii="Book Antiqua" w:hAnsi="Book Antiqua" w:cstheme="minorHAnsi"/>
              </w:rPr>
              <w:t>SO</w:t>
            </w:r>
          </w:p>
        </w:tc>
        <w:tc>
          <w:tcPr>
            <w:cnfStyle w:val="000001000000" w:firstRow="0" w:lastRow="0" w:firstColumn="0" w:lastColumn="0" w:oddVBand="0" w:evenVBand="1" w:oddHBand="0" w:evenHBand="0" w:firstRowFirstColumn="0" w:firstRowLastColumn="0" w:lastRowFirstColumn="0" w:lastRowLastColumn="0"/>
            <w:tcW w:w="438" w:type="pct"/>
            <w:tcBorders>
              <w:left w:val="none" w:sz="0" w:space="0" w:color="auto"/>
              <w:right w:val="none" w:sz="0" w:space="0" w:color="auto"/>
            </w:tcBorders>
          </w:tcPr>
          <w:p w:rsidR="00C30601" w:rsidRPr="004D1FA5" w:rsidRDefault="00C30601" w:rsidP="005B6F52">
            <w:pPr>
              <w:autoSpaceDE w:val="0"/>
              <w:autoSpaceDN w:val="0"/>
              <w:adjustRightInd w:val="0"/>
              <w:ind w:right="60"/>
              <w:jc w:val="center"/>
              <w:rPr>
                <w:rFonts w:ascii="Book Antiqua" w:hAnsi="Book Antiqua" w:cstheme="minorHAnsi"/>
                <w:color w:val="010205"/>
              </w:rPr>
            </w:pPr>
            <w:r w:rsidRPr="004D1FA5">
              <w:rPr>
                <w:rFonts w:ascii="Book Antiqua" w:hAnsi="Book Antiqua" w:cstheme="minorHAnsi"/>
                <w:color w:val="010205"/>
              </w:rPr>
              <w:t>386</w:t>
            </w:r>
          </w:p>
        </w:tc>
        <w:tc>
          <w:tcPr>
            <w:cnfStyle w:val="000010000000" w:firstRow="0" w:lastRow="0" w:firstColumn="0" w:lastColumn="0" w:oddVBand="1" w:evenVBand="0" w:oddHBand="0" w:evenHBand="0" w:firstRowFirstColumn="0" w:firstRowLastColumn="0" w:lastRowFirstColumn="0" w:lastRowLastColumn="0"/>
            <w:tcW w:w="898" w:type="pct"/>
            <w:tcBorders>
              <w:left w:val="none" w:sz="0" w:space="0" w:color="auto"/>
              <w:right w:val="none" w:sz="0" w:space="0" w:color="auto"/>
            </w:tcBorders>
          </w:tcPr>
          <w:p w:rsidR="00C30601" w:rsidRPr="004D1FA5" w:rsidRDefault="00C30601" w:rsidP="005B6F52">
            <w:pPr>
              <w:autoSpaceDE w:val="0"/>
              <w:autoSpaceDN w:val="0"/>
              <w:adjustRightInd w:val="0"/>
              <w:ind w:left="60" w:right="60"/>
              <w:jc w:val="right"/>
              <w:rPr>
                <w:rFonts w:ascii="Book Antiqua" w:hAnsi="Book Antiqua" w:cstheme="minorHAnsi"/>
                <w:color w:val="010205"/>
              </w:rPr>
            </w:pPr>
            <w:r w:rsidRPr="004D1FA5">
              <w:rPr>
                <w:rFonts w:ascii="Book Antiqua" w:hAnsi="Book Antiqua" w:cstheme="minorHAnsi"/>
                <w:color w:val="010205"/>
              </w:rPr>
              <w:t>0.000%</w:t>
            </w:r>
          </w:p>
        </w:tc>
        <w:tc>
          <w:tcPr>
            <w:cnfStyle w:val="000001000000" w:firstRow="0" w:lastRow="0" w:firstColumn="0" w:lastColumn="0" w:oddVBand="0" w:evenVBand="1" w:oddHBand="0" w:evenHBand="0" w:firstRowFirstColumn="0" w:firstRowLastColumn="0" w:lastRowFirstColumn="0" w:lastRowLastColumn="0"/>
            <w:tcW w:w="925" w:type="pct"/>
            <w:tcBorders>
              <w:left w:val="none" w:sz="0" w:space="0" w:color="auto"/>
              <w:right w:val="none" w:sz="0" w:space="0" w:color="auto"/>
            </w:tcBorders>
          </w:tcPr>
          <w:p w:rsidR="00C30601" w:rsidRPr="004D1FA5" w:rsidRDefault="00C30601" w:rsidP="005B6F52">
            <w:pPr>
              <w:autoSpaceDE w:val="0"/>
              <w:autoSpaceDN w:val="0"/>
              <w:adjustRightInd w:val="0"/>
              <w:ind w:left="60" w:right="60"/>
              <w:jc w:val="right"/>
              <w:rPr>
                <w:rFonts w:ascii="Book Antiqua" w:hAnsi="Book Antiqua" w:cstheme="minorHAnsi"/>
                <w:color w:val="010205"/>
              </w:rPr>
            </w:pPr>
            <w:r w:rsidRPr="004D1FA5">
              <w:rPr>
                <w:rFonts w:ascii="Book Antiqua" w:hAnsi="Book Antiqua" w:cstheme="minorHAnsi"/>
                <w:color w:val="010205"/>
              </w:rPr>
              <w:t>100,000%</w:t>
            </w:r>
          </w:p>
        </w:tc>
        <w:tc>
          <w:tcPr>
            <w:cnfStyle w:val="000010000000" w:firstRow="0" w:lastRow="0" w:firstColumn="0" w:lastColumn="0" w:oddVBand="1" w:evenVBand="0" w:oddHBand="0" w:evenHBand="0" w:firstRowFirstColumn="0" w:firstRowLastColumn="0" w:lastRowFirstColumn="0" w:lastRowLastColumn="0"/>
            <w:tcW w:w="783" w:type="pct"/>
            <w:tcBorders>
              <w:left w:val="none" w:sz="0" w:space="0" w:color="auto"/>
              <w:right w:val="none" w:sz="0" w:space="0" w:color="auto"/>
            </w:tcBorders>
          </w:tcPr>
          <w:p w:rsidR="00C30601" w:rsidRPr="004D1FA5" w:rsidRDefault="00C30601" w:rsidP="005B6F52">
            <w:pPr>
              <w:autoSpaceDE w:val="0"/>
              <w:autoSpaceDN w:val="0"/>
              <w:adjustRightInd w:val="0"/>
              <w:ind w:left="60" w:right="60"/>
              <w:jc w:val="right"/>
              <w:rPr>
                <w:rFonts w:ascii="Book Antiqua" w:hAnsi="Book Antiqua" w:cstheme="minorHAnsi"/>
                <w:color w:val="010205"/>
              </w:rPr>
            </w:pPr>
            <w:r w:rsidRPr="004D1FA5">
              <w:rPr>
                <w:rFonts w:ascii="Book Antiqua" w:hAnsi="Book Antiqua" w:cstheme="minorHAnsi"/>
                <w:color w:val="010205"/>
              </w:rPr>
              <w:t>9.34585%</w:t>
            </w:r>
          </w:p>
        </w:tc>
        <w:tc>
          <w:tcPr>
            <w:cnfStyle w:val="000001000000" w:firstRow="0" w:lastRow="0" w:firstColumn="0" w:lastColumn="0" w:oddVBand="0" w:evenVBand="1" w:oddHBand="0" w:evenHBand="0" w:firstRowFirstColumn="0" w:firstRowLastColumn="0" w:lastRowFirstColumn="0" w:lastRowLastColumn="0"/>
            <w:tcW w:w="1191" w:type="pct"/>
            <w:tcBorders>
              <w:left w:val="none" w:sz="0" w:space="0" w:color="auto"/>
              <w:right w:val="none" w:sz="0" w:space="0" w:color="auto"/>
            </w:tcBorders>
          </w:tcPr>
          <w:p w:rsidR="00C30601" w:rsidRPr="004D1FA5" w:rsidRDefault="00C30601" w:rsidP="005B6F52">
            <w:pPr>
              <w:autoSpaceDE w:val="0"/>
              <w:autoSpaceDN w:val="0"/>
              <w:adjustRightInd w:val="0"/>
              <w:ind w:left="60" w:right="60"/>
              <w:jc w:val="right"/>
              <w:rPr>
                <w:rFonts w:ascii="Book Antiqua" w:hAnsi="Book Antiqua" w:cstheme="minorHAnsi"/>
                <w:color w:val="010205"/>
              </w:rPr>
            </w:pPr>
            <w:r w:rsidRPr="004D1FA5">
              <w:rPr>
                <w:rFonts w:ascii="Book Antiqua" w:hAnsi="Book Antiqua" w:cstheme="minorHAnsi"/>
                <w:color w:val="010205"/>
              </w:rPr>
              <w:t>23.302331%</w:t>
            </w:r>
          </w:p>
        </w:tc>
      </w:tr>
      <w:tr w:rsidR="00C30601" w:rsidRPr="004D1FA5" w:rsidTr="004D23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65" w:type="pct"/>
            <w:tcBorders>
              <w:top w:val="none" w:sz="0" w:space="0" w:color="auto"/>
              <w:left w:val="none" w:sz="0" w:space="0" w:color="auto"/>
              <w:bottom w:val="none" w:sz="0" w:space="0" w:color="auto"/>
              <w:right w:val="none" w:sz="0" w:space="0" w:color="auto"/>
            </w:tcBorders>
          </w:tcPr>
          <w:p w:rsidR="00C30601" w:rsidRPr="004D1FA5" w:rsidRDefault="00C30601" w:rsidP="005B6F52">
            <w:pPr>
              <w:autoSpaceDE w:val="0"/>
              <w:autoSpaceDN w:val="0"/>
              <w:adjustRightInd w:val="0"/>
              <w:ind w:right="60"/>
              <w:rPr>
                <w:rFonts w:ascii="Book Antiqua" w:hAnsi="Book Antiqua" w:cstheme="minorHAnsi"/>
              </w:rPr>
            </w:pPr>
            <w:r w:rsidRPr="004D1FA5">
              <w:rPr>
                <w:rFonts w:ascii="Book Antiqua" w:hAnsi="Book Antiqua" w:cstheme="minorHAnsi"/>
              </w:rPr>
              <w:t>OC</w:t>
            </w:r>
          </w:p>
        </w:tc>
        <w:tc>
          <w:tcPr>
            <w:cnfStyle w:val="000001000000" w:firstRow="0" w:lastRow="0" w:firstColumn="0" w:lastColumn="0" w:oddVBand="0" w:evenVBand="1" w:oddHBand="0" w:evenHBand="0" w:firstRowFirstColumn="0" w:firstRowLastColumn="0" w:lastRowFirstColumn="0" w:lastRowLastColumn="0"/>
            <w:tcW w:w="438" w:type="pct"/>
            <w:tcBorders>
              <w:top w:val="none" w:sz="0" w:space="0" w:color="auto"/>
              <w:left w:val="none" w:sz="0" w:space="0" w:color="auto"/>
              <w:bottom w:val="none" w:sz="0" w:space="0" w:color="auto"/>
              <w:right w:val="none" w:sz="0" w:space="0" w:color="auto"/>
            </w:tcBorders>
          </w:tcPr>
          <w:p w:rsidR="00C30601" w:rsidRPr="004D1FA5" w:rsidRDefault="00C30601" w:rsidP="005B6F52">
            <w:pPr>
              <w:autoSpaceDE w:val="0"/>
              <w:autoSpaceDN w:val="0"/>
              <w:adjustRightInd w:val="0"/>
              <w:ind w:right="60"/>
              <w:jc w:val="center"/>
              <w:rPr>
                <w:rFonts w:ascii="Book Antiqua" w:hAnsi="Book Antiqua" w:cstheme="minorHAnsi"/>
                <w:color w:val="010205"/>
              </w:rPr>
            </w:pPr>
            <w:r w:rsidRPr="004D1FA5">
              <w:rPr>
                <w:rFonts w:ascii="Book Antiqua" w:hAnsi="Book Antiqua" w:cstheme="minorHAnsi"/>
                <w:color w:val="010205"/>
              </w:rPr>
              <w:t>386</w:t>
            </w:r>
          </w:p>
        </w:tc>
        <w:tc>
          <w:tcPr>
            <w:cnfStyle w:val="000010000000" w:firstRow="0" w:lastRow="0" w:firstColumn="0" w:lastColumn="0" w:oddVBand="1" w:evenVBand="0" w:oddHBand="0" w:evenHBand="0" w:firstRowFirstColumn="0" w:firstRowLastColumn="0" w:lastRowFirstColumn="0" w:lastRowLastColumn="0"/>
            <w:tcW w:w="898" w:type="pct"/>
            <w:tcBorders>
              <w:top w:val="none" w:sz="0" w:space="0" w:color="auto"/>
              <w:left w:val="none" w:sz="0" w:space="0" w:color="auto"/>
              <w:bottom w:val="none" w:sz="0" w:space="0" w:color="auto"/>
              <w:right w:val="none" w:sz="0" w:space="0" w:color="auto"/>
            </w:tcBorders>
          </w:tcPr>
          <w:p w:rsidR="00C30601" w:rsidRPr="004D1FA5" w:rsidRDefault="00C30601" w:rsidP="005B6F52">
            <w:pPr>
              <w:autoSpaceDE w:val="0"/>
              <w:autoSpaceDN w:val="0"/>
              <w:adjustRightInd w:val="0"/>
              <w:ind w:left="60" w:right="60"/>
              <w:jc w:val="right"/>
              <w:rPr>
                <w:rFonts w:ascii="Book Antiqua" w:hAnsi="Book Antiqua" w:cstheme="minorHAnsi"/>
                <w:color w:val="010205"/>
              </w:rPr>
            </w:pPr>
            <w:r w:rsidRPr="004D1FA5">
              <w:rPr>
                <w:rFonts w:ascii="Book Antiqua" w:hAnsi="Book Antiqua" w:cstheme="minorHAnsi"/>
                <w:color w:val="010205"/>
              </w:rPr>
              <w:t>36.907%</w:t>
            </w:r>
          </w:p>
        </w:tc>
        <w:tc>
          <w:tcPr>
            <w:cnfStyle w:val="000001000000" w:firstRow="0" w:lastRow="0" w:firstColumn="0" w:lastColumn="0" w:oddVBand="0" w:evenVBand="1" w:oddHBand="0" w:evenHBand="0" w:firstRowFirstColumn="0" w:firstRowLastColumn="0" w:lastRowFirstColumn="0" w:lastRowLastColumn="0"/>
            <w:tcW w:w="925" w:type="pct"/>
            <w:tcBorders>
              <w:top w:val="none" w:sz="0" w:space="0" w:color="auto"/>
              <w:left w:val="none" w:sz="0" w:space="0" w:color="auto"/>
              <w:bottom w:val="none" w:sz="0" w:space="0" w:color="auto"/>
              <w:right w:val="none" w:sz="0" w:space="0" w:color="auto"/>
            </w:tcBorders>
          </w:tcPr>
          <w:p w:rsidR="00C30601" w:rsidRPr="004D1FA5" w:rsidRDefault="00C30601" w:rsidP="005B6F52">
            <w:pPr>
              <w:autoSpaceDE w:val="0"/>
              <w:autoSpaceDN w:val="0"/>
              <w:adjustRightInd w:val="0"/>
              <w:ind w:left="60" w:right="60"/>
              <w:jc w:val="right"/>
              <w:rPr>
                <w:rFonts w:ascii="Book Antiqua" w:hAnsi="Book Antiqua" w:cstheme="minorHAnsi"/>
                <w:color w:val="010205"/>
              </w:rPr>
            </w:pPr>
            <w:r w:rsidRPr="004D1FA5">
              <w:rPr>
                <w:rFonts w:ascii="Book Antiqua" w:hAnsi="Book Antiqua" w:cstheme="minorHAnsi"/>
                <w:color w:val="010205"/>
              </w:rPr>
              <w:t>100,000%</w:t>
            </w:r>
          </w:p>
        </w:tc>
        <w:tc>
          <w:tcPr>
            <w:cnfStyle w:val="000010000000" w:firstRow="0" w:lastRow="0" w:firstColumn="0" w:lastColumn="0" w:oddVBand="1" w:evenVBand="0" w:oddHBand="0" w:evenHBand="0" w:firstRowFirstColumn="0" w:firstRowLastColumn="0" w:lastRowFirstColumn="0" w:lastRowLastColumn="0"/>
            <w:tcW w:w="783" w:type="pct"/>
            <w:tcBorders>
              <w:top w:val="none" w:sz="0" w:space="0" w:color="auto"/>
              <w:left w:val="none" w:sz="0" w:space="0" w:color="auto"/>
              <w:bottom w:val="none" w:sz="0" w:space="0" w:color="auto"/>
              <w:right w:val="none" w:sz="0" w:space="0" w:color="auto"/>
            </w:tcBorders>
          </w:tcPr>
          <w:p w:rsidR="00C30601" w:rsidRPr="004D1FA5" w:rsidRDefault="00C30601" w:rsidP="005B6F52">
            <w:pPr>
              <w:autoSpaceDE w:val="0"/>
              <w:autoSpaceDN w:val="0"/>
              <w:adjustRightInd w:val="0"/>
              <w:ind w:left="60" w:right="60"/>
              <w:jc w:val="right"/>
              <w:rPr>
                <w:rFonts w:ascii="Book Antiqua" w:hAnsi="Book Antiqua" w:cstheme="minorHAnsi"/>
                <w:color w:val="010205"/>
              </w:rPr>
            </w:pPr>
            <w:r w:rsidRPr="004D1FA5">
              <w:rPr>
                <w:rFonts w:ascii="Book Antiqua" w:hAnsi="Book Antiqua" w:cstheme="minorHAnsi"/>
                <w:color w:val="010205"/>
              </w:rPr>
              <w:t>79.97092%</w:t>
            </w:r>
          </w:p>
        </w:tc>
        <w:tc>
          <w:tcPr>
            <w:cnfStyle w:val="000001000000" w:firstRow="0" w:lastRow="0" w:firstColumn="0" w:lastColumn="0" w:oddVBand="0" w:evenVBand="1" w:oddHBand="0" w:evenHBand="0" w:firstRowFirstColumn="0" w:firstRowLastColumn="0" w:lastRowFirstColumn="0" w:lastRowLastColumn="0"/>
            <w:tcW w:w="1191" w:type="pct"/>
            <w:tcBorders>
              <w:top w:val="none" w:sz="0" w:space="0" w:color="auto"/>
              <w:left w:val="none" w:sz="0" w:space="0" w:color="auto"/>
              <w:bottom w:val="none" w:sz="0" w:space="0" w:color="auto"/>
              <w:right w:val="none" w:sz="0" w:space="0" w:color="auto"/>
            </w:tcBorders>
          </w:tcPr>
          <w:p w:rsidR="00C30601" w:rsidRPr="004D1FA5" w:rsidRDefault="00C30601" w:rsidP="005B6F52">
            <w:pPr>
              <w:autoSpaceDE w:val="0"/>
              <w:autoSpaceDN w:val="0"/>
              <w:adjustRightInd w:val="0"/>
              <w:ind w:left="60" w:right="60"/>
              <w:jc w:val="right"/>
              <w:rPr>
                <w:rFonts w:ascii="Book Antiqua" w:hAnsi="Book Antiqua" w:cstheme="minorHAnsi"/>
                <w:color w:val="010205"/>
              </w:rPr>
            </w:pPr>
            <w:r w:rsidRPr="004D1FA5">
              <w:rPr>
                <w:rFonts w:ascii="Book Antiqua" w:hAnsi="Book Antiqua" w:cstheme="minorHAnsi"/>
                <w:color w:val="010205"/>
              </w:rPr>
              <w:t>16.240600%</w:t>
            </w:r>
          </w:p>
        </w:tc>
      </w:tr>
      <w:tr w:rsidR="00C30601" w:rsidRPr="004D1FA5" w:rsidTr="004D23F5">
        <w:tc>
          <w:tcPr>
            <w:cnfStyle w:val="000010000000" w:firstRow="0" w:lastRow="0" w:firstColumn="0" w:lastColumn="0" w:oddVBand="1" w:evenVBand="0" w:oddHBand="0" w:evenHBand="0" w:firstRowFirstColumn="0" w:firstRowLastColumn="0" w:lastRowFirstColumn="0" w:lastRowLastColumn="0"/>
            <w:tcW w:w="765" w:type="pct"/>
            <w:tcBorders>
              <w:left w:val="none" w:sz="0" w:space="0" w:color="auto"/>
              <w:right w:val="none" w:sz="0" w:space="0" w:color="auto"/>
            </w:tcBorders>
          </w:tcPr>
          <w:p w:rsidR="00C30601" w:rsidRPr="004D1FA5" w:rsidRDefault="00C30601" w:rsidP="005B6F52">
            <w:pPr>
              <w:autoSpaceDE w:val="0"/>
              <w:autoSpaceDN w:val="0"/>
              <w:adjustRightInd w:val="0"/>
              <w:ind w:right="60"/>
              <w:rPr>
                <w:rFonts w:ascii="Book Antiqua" w:hAnsi="Book Antiqua" w:cstheme="minorHAnsi"/>
              </w:rPr>
            </w:pPr>
            <w:r w:rsidRPr="004D1FA5">
              <w:rPr>
                <w:rFonts w:ascii="Book Antiqua" w:hAnsi="Book Antiqua" w:cstheme="minorHAnsi"/>
              </w:rPr>
              <w:t>BO</w:t>
            </w:r>
          </w:p>
        </w:tc>
        <w:tc>
          <w:tcPr>
            <w:cnfStyle w:val="000001000000" w:firstRow="0" w:lastRow="0" w:firstColumn="0" w:lastColumn="0" w:oddVBand="0" w:evenVBand="1" w:oddHBand="0" w:evenHBand="0" w:firstRowFirstColumn="0" w:firstRowLastColumn="0" w:lastRowFirstColumn="0" w:lastRowLastColumn="0"/>
            <w:tcW w:w="438" w:type="pct"/>
            <w:tcBorders>
              <w:left w:val="none" w:sz="0" w:space="0" w:color="auto"/>
              <w:right w:val="none" w:sz="0" w:space="0" w:color="auto"/>
            </w:tcBorders>
          </w:tcPr>
          <w:p w:rsidR="00C30601" w:rsidRPr="004D1FA5" w:rsidRDefault="00C30601" w:rsidP="005B6F52">
            <w:pPr>
              <w:autoSpaceDE w:val="0"/>
              <w:autoSpaceDN w:val="0"/>
              <w:adjustRightInd w:val="0"/>
              <w:ind w:right="60"/>
              <w:jc w:val="center"/>
              <w:rPr>
                <w:rFonts w:ascii="Book Antiqua" w:hAnsi="Book Antiqua" w:cstheme="minorHAnsi"/>
                <w:color w:val="010205"/>
              </w:rPr>
            </w:pPr>
            <w:r w:rsidRPr="004D1FA5">
              <w:rPr>
                <w:rFonts w:ascii="Book Antiqua" w:hAnsi="Book Antiqua" w:cstheme="minorHAnsi"/>
                <w:color w:val="010205"/>
              </w:rPr>
              <w:t>386</w:t>
            </w:r>
          </w:p>
        </w:tc>
        <w:tc>
          <w:tcPr>
            <w:cnfStyle w:val="000010000000" w:firstRow="0" w:lastRow="0" w:firstColumn="0" w:lastColumn="0" w:oddVBand="1" w:evenVBand="0" w:oddHBand="0" w:evenHBand="0" w:firstRowFirstColumn="0" w:firstRowLastColumn="0" w:lastRowFirstColumn="0" w:lastRowLastColumn="0"/>
            <w:tcW w:w="898" w:type="pct"/>
            <w:tcBorders>
              <w:left w:val="none" w:sz="0" w:space="0" w:color="auto"/>
              <w:right w:val="none" w:sz="0" w:space="0" w:color="auto"/>
            </w:tcBorders>
          </w:tcPr>
          <w:p w:rsidR="00C30601" w:rsidRPr="004D1FA5" w:rsidRDefault="00C30601" w:rsidP="005B6F52">
            <w:pPr>
              <w:autoSpaceDE w:val="0"/>
              <w:autoSpaceDN w:val="0"/>
              <w:adjustRightInd w:val="0"/>
              <w:ind w:left="60" w:right="60"/>
              <w:jc w:val="right"/>
              <w:rPr>
                <w:rFonts w:ascii="Book Antiqua" w:hAnsi="Book Antiqua" w:cstheme="minorHAnsi"/>
                <w:color w:val="010205"/>
              </w:rPr>
            </w:pPr>
            <w:r w:rsidRPr="004D1FA5">
              <w:rPr>
                <w:rFonts w:ascii="Book Antiqua" w:hAnsi="Book Antiqua" w:cstheme="minorHAnsi"/>
                <w:color w:val="010205"/>
              </w:rPr>
              <w:t>36.907%</w:t>
            </w:r>
          </w:p>
        </w:tc>
        <w:tc>
          <w:tcPr>
            <w:cnfStyle w:val="000001000000" w:firstRow="0" w:lastRow="0" w:firstColumn="0" w:lastColumn="0" w:oddVBand="0" w:evenVBand="1" w:oddHBand="0" w:evenHBand="0" w:firstRowFirstColumn="0" w:firstRowLastColumn="0" w:lastRowFirstColumn="0" w:lastRowLastColumn="0"/>
            <w:tcW w:w="925" w:type="pct"/>
            <w:tcBorders>
              <w:left w:val="none" w:sz="0" w:space="0" w:color="auto"/>
              <w:right w:val="none" w:sz="0" w:space="0" w:color="auto"/>
            </w:tcBorders>
          </w:tcPr>
          <w:p w:rsidR="00C30601" w:rsidRPr="004D1FA5" w:rsidRDefault="00C30601" w:rsidP="005B6F52">
            <w:pPr>
              <w:autoSpaceDE w:val="0"/>
              <w:autoSpaceDN w:val="0"/>
              <w:adjustRightInd w:val="0"/>
              <w:ind w:left="60" w:right="60"/>
              <w:jc w:val="right"/>
              <w:rPr>
                <w:rFonts w:ascii="Book Antiqua" w:hAnsi="Book Antiqua" w:cstheme="minorHAnsi"/>
                <w:color w:val="010205"/>
              </w:rPr>
            </w:pPr>
            <w:r w:rsidRPr="004D1FA5">
              <w:rPr>
                <w:rFonts w:ascii="Book Antiqua" w:hAnsi="Book Antiqua" w:cstheme="minorHAnsi"/>
                <w:color w:val="010205"/>
              </w:rPr>
              <w:t>100,000%</w:t>
            </w:r>
          </w:p>
        </w:tc>
        <w:tc>
          <w:tcPr>
            <w:cnfStyle w:val="000010000000" w:firstRow="0" w:lastRow="0" w:firstColumn="0" w:lastColumn="0" w:oddVBand="1" w:evenVBand="0" w:oddHBand="0" w:evenHBand="0" w:firstRowFirstColumn="0" w:firstRowLastColumn="0" w:lastRowFirstColumn="0" w:lastRowLastColumn="0"/>
            <w:tcW w:w="783" w:type="pct"/>
            <w:tcBorders>
              <w:left w:val="none" w:sz="0" w:space="0" w:color="auto"/>
              <w:right w:val="none" w:sz="0" w:space="0" w:color="auto"/>
            </w:tcBorders>
          </w:tcPr>
          <w:p w:rsidR="00C30601" w:rsidRPr="004D1FA5" w:rsidRDefault="00C30601" w:rsidP="005B6F52">
            <w:pPr>
              <w:autoSpaceDE w:val="0"/>
              <w:autoSpaceDN w:val="0"/>
              <w:adjustRightInd w:val="0"/>
              <w:ind w:left="60" w:right="60"/>
              <w:jc w:val="right"/>
              <w:rPr>
                <w:rFonts w:ascii="Book Antiqua" w:hAnsi="Book Antiqua" w:cstheme="minorHAnsi"/>
                <w:color w:val="010205"/>
              </w:rPr>
            </w:pPr>
            <w:r w:rsidRPr="004D1FA5">
              <w:rPr>
                <w:rFonts w:ascii="Book Antiqua" w:hAnsi="Book Antiqua" w:cstheme="minorHAnsi"/>
                <w:color w:val="010205"/>
              </w:rPr>
              <w:t>78.66261%</w:t>
            </w:r>
          </w:p>
        </w:tc>
        <w:tc>
          <w:tcPr>
            <w:cnfStyle w:val="000001000000" w:firstRow="0" w:lastRow="0" w:firstColumn="0" w:lastColumn="0" w:oddVBand="0" w:evenVBand="1" w:oddHBand="0" w:evenHBand="0" w:firstRowFirstColumn="0" w:firstRowLastColumn="0" w:lastRowFirstColumn="0" w:lastRowLastColumn="0"/>
            <w:tcW w:w="1191" w:type="pct"/>
            <w:tcBorders>
              <w:left w:val="none" w:sz="0" w:space="0" w:color="auto"/>
              <w:right w:val="none" w:sz="0" w:space="0" w:color="auto"/>
            </w:tcBorders>
          </w:tcPr>
          <w:p w:rsidR="00C30601" w:rsidRPr="004D1FA5" w:rsidRDefault="00C30601" w:rsidP="005B6F52">
            <w:pPr>
              <w:autoSpaceDE w:val="0"/>
              <w:autoSpaceDN w:val="0"/>
              <w:adjustRightInd w:val="0"/>
              <w:ind w:left="60" w:right="60"/>
              <w:jc w:val="right"/>
              <w:rPr>
                <w:rFonts w:ascii="Book Antiqua" w:hAnsi="Book Antiqua" w:cstheme="minorHAnsi"/>
                <w:color w:val="010205"/>
              </w:rPr>
            </w:pPr>
            <w:r w:rsidRPr="004D1FA5">
              <w:rPr>
                <w:rFonts w:ascii="Book Antiqua" w:hAnsi="Book Antiqua" w:cstheme="minorHAnsi"/>
                <w:color w:val="010205"/>
              </w:rPr>
              <w:t>16.740865%</w:t>
            </w:r>
          </w:p>
        </w:tc>
      </w:tr>
      <w:tr w:rsidR="00C30601" w:rsidRPr="004D1FA5" w:rsidTr="004D23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65" w:type="pct"/>
            <w:tcBorders>
              <w:top w:val="none" w:sz="0" w:space="0" w:color="auto"/>
              <w:left w:val="none" w:sz="0" w:space="0" w:color="auto"/>
              <w:bottom w:val="none" w:sz="0" w:space="0" w:color="auto"/>
              <w:right w:val="none" w:sz="0" w:space="0" w:color="auto"/>
            </w:tcBorders>
          </w:tcPr>
          <w:p w:rsidR="00C30601" w:rsidRPr="004D1FA5" w:rsidRDefault="00C30601" w:rsidP="005B6F52">
            <w:pPr>
              <w:autoSpaceDE w:val="0"/>
              <w:autoSpaceDN w:val="0"/>
              <w:adjustRightInd w:val="0"/>
              <w:ind w:right="60"/>
              <w:rPr>
                <w:rFonts w:ascii="Book Antiqua" w:hAnsi="Book Antiqua" w:cstheme="minorHAnsi"/>
              </w:rPr>
            </w:pPr>
            <w:r w:rsidRPr="004D1FA5">
              <w:rPr>
                <w:rFonts w:ascii="Book Antiqua" w:hAnsi="Book Antiqua" w:cstheme="minorHAnsi"/>
              </w:rPr>
              <w:t>AGE</w:t>
            </w:r>
          </w:p>
        </w:tc>
        <w:tc>
          <w:tcPr>
            <w:cnfStyle w:val="000001000000" w:firstRow="0" w:lastRow="0" w:firstColumn="0" w:lastColumn="0" w:oddVBand="0" w:evenVBand="1" w:oddHBand="0" w:evenHBand="0" w:firstRowFirstColumn="0" w:firstRowLastColumn="0" w:lastRowFirstColumn="0" w:lastRowLastColumn="0"/>
            <w:tcW w:w="438" w:type="pct"/>
            <w:tcBorders>
              <w:top w:val="none" w:sz="0" w:space="0" w:color="auto"/>
              <w:left w:val="none" w:sz="0" w:space="0" w:color="auto"/>
              <w:bottom w:val="none" w:sz="0" w:space="0" w:color="auto"/>
              <w:right w:val="none" w:sz="0" w:space="0" w:color="auto"/>
            </w:tcBorders>
          </w:tcPr>
          <w:p w:rsidR="00C30601" w:rsidRPr="004D1FA5" w:rsidRDefault="00C30601" w:rsidP="005B6F52">
            <w:pPr>
              <w:autoSpaceDE w:val="0"/>
              <w:autoSpaceDN w:val="0"/>
              <w:adjustRightInd w:val="0"/>
              <w:ind w:right="60"/>
              <w:jc w:val="center"/>
              <w:rPr>
                <w:rFonts w:ascii="Book Antiqua" w:hAnsi="Book Antiqua" w:cstheme="minorHAnsi"/>
                <w:b/>
              </w:rPr>
            </w:pPr>
            <w:r w:rsidRPr="004D1FA5">
              <w:rPr>
                <w:rFonts w:ascii="Book Antiqua" w:hAnsi="Book Antiqua" w:cstheme="minorHAnsi"/>
              </w:rPr>
              <w:t>386</w:t>
            </w:r>
          </w:p>
        </w:tc>
        <w:tc>
          <w:tcPr>
            <w:cnfStyle w:val="000010000000" w:firstRow="0" w:lastRow="0" w:firstColumn="0" w:lastColumn="0" w:oddVBand="1" w:evenVBand="0" w:oddHBand="0" w:evenHBand="0" w:firstRowFirstColumn="0" w:firstRowLastColumn="0" w:lastRowFirstColumn="0" w:lastRowLastColumn="0"/>
            <w:tcW w:w="898" w:type="pct"/>
            <w:tcBorders>
              <w:top w:val="none" w:sz="0" w:space="0" w:color="auto"/>
              <w:left w:val="none" w:sz="0" w:space="0" w:color="auto"/>
              <w:bottom w:val="none" w:sz="0" w:space="0" w:color="auto"/>
              <w:right w:val="none" w:sz="0" w:space="0" w:color="auto"/>
            </w:tcBorders>
          </w:tcPr>
          <w:p w:rsidR="00C30601" w:rsidRPr="004D1FA5" w:rsidRDefault="00C30601" w:rsidP="005B6F52">
            <w:pPr>
              <w:autoSpaceDE w:val="0"/>
              <w:autoSpaceDN w:val="0"/>
              <w:adjustRightInd w:val="0"/>
              <w:ind w:left="60" w:right="60"/>
              <w:jc w:val="right"/>
              <w:rPr>
                <w:rFonts w:ascii="Book Antiqua" w:hAnsi="Book Antiqua" w:cstheme="minorHAnsi"/>
                <w:color w:val="010205"/>
              </w:rPr>
            </w:pPr>
            <w:r w:rsidRPr="004D1FA5">
              <w:rPr>
                <w:rFonts w:ascii="Book Antiqua" w:hAnsi="Book Antiqua" w:cstheme="minorHAnsi"/>
                <w:color w:val="010205"/>
              </w:rPr>
              <w:t>386</w:t>
            </w:r>
          </w:p>
        </w:tc>
        <w:tc>
          <w:tcPr>
            <w:cnfStyle w:val="000001000000" w:firstRow="0" w:lastRow="0" w:firstColumn="0" w:lastColumn="0" w:oddVBand="0" w:evenVBand="1" w:oddHBand="0" w:evenHBand="0" w:firstRowFirstColumn="0" w:firstRowLastColumn="0" w:lastRowFirstColumn="0" w:lastRowLastColumn="0"/>
            <w:tcW w:w="925" w:type="pct"/>
            <w:tcBorders>
              <w:top w:val="none" w:sz="0" w:space="0" w:color="auto"/>
              <w:left w:val="none" w:sz="0" w:space="0" w:color="auto"/>
              <w:bottom w:val="none" w:sz="0" w:space="0" w:color="auto"/>
              <w:right w:val="none" w:sz="0" w:space="0" w:color="auto"/>
            </w:tcBorders>
          </w:tcPr>
          <w:p w:rsidR="00C30601" w:rsidRPr="004D1FA5" w:rsidRDefault="00C30601" w:rsidP="005B6F52">
            <w:pPr>
              <w:autoSpaceDE w:val="0"/>
              <w:autoSpaceDN w:val="0"/>
              <w:adjustRightInd w:val="0"/>
              <w:ind w:left="60" w:right="60"/>
              <w:jc w:val="right"/>
              <w:rPr>
                <w:rFonts w:ascii="Book Antiqua" w:hAnsi="Book Antiqua" w:cstheme="minorHAnsi"/>
                <w:color w:val="010205"/>
              </w:rPr>
            </w:pPr>
            <w:r w:rsidRPr="004D1FA5">
              <w:rPr>
                <w:rFonts w:ascii="Book Antiqua" w:hAnsi="Book Antiqua" w:cstheme="minorHAnsi"/>
                <w:color w:val="010205"/>
              </w:rPr>
              <w:t>-5</w:t>
            </w:r>
          </w:p>
        </w:tc>
        <w:tc>
          <w:tcPr>
            <w:cnfStyle w:val="000010000000" w:firstRow="0" w:lastRow="0" w:firstColumn="0" w:lastColumn="0" w:oddVBand="1" w:evenVBand="0" w:oddHBand="0" w:evenHBand="0" w:firstRowFirstColumn="0" w:firstRowLastColumn="0" w:lastRowFirstColumn="0" w:lastRowLastColumn="0"/>
            <w:tcW w:w="783" w:type="pct"/>
            <w:tcBorders>
              <w:top w:val="none" w:sz="0" w:space="0" w:color="auto"/>
              <w:left w:val="none" w:sz="0" w:space="0" w:color="auto"/>
              <w:bottom w:val="none" w:sz="0" w:space="0" w:color="auto"/>
              <w:right w:val="none" w:sz="0" w:space="0" w:color="auto"/>
            </w:tcBorders>
          </w:tcPr>
          <w:p w:rsidR="00C30601" w:rsidRPr="004D1FA5" w:rsidRDefault="00C30601" w:rsidP="005B6F52">
            <w:pPr>
              <w:autoSpaceDE w:val="0"/>
              <w:autoSpaceDN w:val="0"/>
              <w:adjustRightInd w:val="0"/>
              <w:ind w:left="60" w:right="60"/>
              <w:jc w:val="right"/>
              <w:rPr>
                <w:rFonts w:ascii="Book Antiqua" w:hAnsi="Book Antiqua" w:cstheme="minorHAnsi"/>
                <w:color w:val="010205"/>
              </w:rPr>
            </w:pPr>
            <w:r w:rsidRPr="004D1FA5">
              <w:rPr>
                <w:rFonts w:ascii="Book Antiqua" w:hAnsi="Book Antiqua" w:cstheme="minorHAnsi"/>
                <w:color w:val="010205"/>
              </w:rPr>
              <w:t>123</w:t>
            </w:r>
          </w:p>
        </w:tc>
        <w:tc>
          <w:tcPr>
            <w:cnfStyle w:val="000001000000" w:firstRow="0" w:lastRow="0" w:firstColumn="0" w:lastColumn="0" w:oddVBand="0" w:evenVBand="1" w:oddHBand="0" w:evenHBand="0" w:firstRowFirstColumn="0" w:firstRowLastColumn="0" w:lastRowFirstColumn="0" w:lastRowLastColumn="0"/>
            <w:tcW w:w="1191" w:type="pct"/>
            <w:tcBorders>
              <w:top w:val="none" w:sz="0" w:space="0" w:color="auto"/>
              <w:left w:val="none" w:sz="0" w:space="0" w:color="auto"/>
              <w:bottom w:val="none" w:sz="0" w:space="0" w:color="auto"/>
              <w:right w:val="none" w:sz="0" w:space="0" w:color="auto"/>
            </w:tcBorders>
          </w:tcPr>
          <w:p w:rsidR="00C30601" w:rsidRPr="004D1FA5" w:rsidRDefault="00C30601" w:rsidP="005B6F52">
            <w:pPr>
              <w:autoSpaceDE w:val="0"/>
              <w:autoSpaceDN w:val="0"/>
              <w:adjustRightInd w:val="0"/>
              <w:ind w:left="60" w:right="60"/>
              <w:jc w:val="right"/>
              <w:rPr>
                <w:rFonts w:ascii="Book Antiqua" w:hAnsi="Book Antiqua" w:cstheme="minorHAnsi"/>
                <w:color w:val="010205"/>
              </w:rPr>
            </w:pPr>
            <w:r w:rsidRPr="004D1FA5">
              <w:rPr>
                <w:rFonts w:ascii="Book Antiqua" w:hAnsi="Book Antiqua" w:cstheme="minorHAnsi"/>
                <w:color w:val="010205"/>
              </w:rPr>
              <w:t>40.03</w:t>
            </w:r>
          </w:p>
        </w:tc>
      </w:tr>
      <w:tr w:rsidR="00C30601" w:rsidRPr="004D1FA5" w:rsidTr="004D23F5">
        <w:tc>
          <w:tcPr>
            <w:cnfStyle w:val="000010000000" w:firstRow="0" w:lastRow="0" w:firstColumn="0" w:lastColumn="0" w:oddVBand="1" w:evenVBand="0" w:oddHBand="0" w:evenHBand="0" w:firstRowFirstColumn="0" w:firstRowLastColumn="0" w:lastRowFirstColumn="0" w:lastRowLastColumn="0"/>
            <w:tcW w:w="765" w:type="pct"/>
            <w:tcBorders>
              <w:left w:val="none" w:sz="0" w:space="0" w:color="auto"/>
              <w:right w:val="none" w:sz="0" w:space="0" w:color="auto"/>
            </w:tcBorders>
          </w:tcPr>
          <w:p w:rsidR="00C30601" w:rsidRPr="004D1FA5" w:rsidRDefault="00C30601" w:rsidP="005B6F52">
            <w:pPr>
              <w:autoSpaceDE w:val="0"/>
              <w:autoSpaceDN w:val="0"/>
              <w:adjustRightInd w:val="0"/>
              <w:ind w:right="60"/>
              <w:rPr>
                <w:rFonts w:ascii="Book Antiqua" w:hAnsi="Book Antiqua" w:cstheme="minorHAnsi"/>
              </w:rPr>
            </w:pPr>
            <w:r w:rsidRPr="004D1FA5">
              <w:rPr>
                <w:rFonts w:ascii="Book Antiqua" w:hAnsi="Book Antiqua" w:cstheme="minorHAnsi"/>
              </w:rPr>
              <w:t>SIZE</w:t>
            </w:r>
          </w:p>
        </w:tc>
        <w:tc>
          <w:tcPr>
            <w:cnfStyle w:val="000001000000" w:firstRow="0" w:lastRow="0" w:firstColumn="0" w:lastColumn="0" w:oddVBand="0" w:evenVBand="1" w:oddHBand="0" w:evenHBand="0" w:firstRowFirstColumn="0" w:firstRowLastColumn="0" w:lastRowFirstColumn="0" w:lastRowLastColumn="0"/>
            <w:tcW w:w="438" w:type="pct"/>
            <w:tcBorders>
              <w:left w:val="none" w:sz="0" w:space="0" w:color="auto"/>
              <w:right w:val="none" w:sz="0" w:space="0" w:color="auto"/>
            </w:tcBorders>
          </w:tcPr>
          <w:p w:rsidR="00C30601" w:rsidRPr="004D1FA5" w:rsidRDefault="00C30601" w:rsidP="005B6F52">
            <w:pPr>
              <w:autoSpaceDE w:val="0"/>
              <w:autoSpaceDN w:val="0"/>
              <w:adjustRightInd w:val="0"/>
              <w:ind w:right="60"/>
              <w:jc w:val="center"/>
              <w:rPr>
                <w:rFonts w:ascii="Book Antiqua" w:hAnsi="Book Antiqua" w:cstheme="minorHAnsi"/>
                <w:b/>
              </w:rPr>
            </w:pPr>
            <w:r w:rsidRPr="004D1FA5">
              <w:rPr>
                <w:rFonts w:ascii="Book Antiqua" w:hAnsi="Book Antiqua" w:cstheme="minorHAnsi"/>
              </w:rPr>
              <w:t>386</w:t>
            </w:r>
          </w:p>
        </w:tc>
        <w:tc>
          <w:tcPr>
            <w:cnfStyle w:val="000010000000" w:firstRow="0" w:lastRow="0" w:firstColumn="0" w:lastColumn="0" w:oddVBand="1" w:evenVBand="0" w:oddHBand="0" w:evenHBand="0" w:firstRowFirstColumn="0" w:firstRowLastColumn="0" w:lastRowFirstColumn="0" w:lastRowLastColumn="0"/>
            <w:tcW w:w="898" w:type="pct"/>
            <w:tcBorders>
              <w:left w:val="none" w:sz="0" w:space="0" w:color="auto"/>
              <w:right w:val="none" w:sz="0" w:space="0" w:color="auto"/>
            </w:tcBorders>
          </w:tcPr>
          <w:p w:rsidR="00C30601" w:rsidRPr="004D1FA5" w:rsidRDefault="00C30601" w:rsidP="005B6F52">
            <w:pPr>
              <w:autoSpaceDE w:val="0"/>
              <w:autoSpaceDN w:val="0"/>
              <w:adjustRightInd w:val="0"/>
              <w:ind w:left="60" w:right="60"/>
              <w:jc w:val="right"/>
              <w:rPr>
                <w:rFonts w:ascii="Book Antiqua" w:hAnsi="Book Antiqua" w:cstheme="minorHAnsi"/>
                <w:color w:val="010205"/>
              </w:rPr>
            </w:pPr>
            <w:r w:rsidRPr="004D1FA5">
              <w:rPr>
                <w:rFonts w:ascii="Book Antiqua" w:hAnsi="Book Antiqua" w:cstheme="minorHAnsi"/>
                <w:color w:val="010205"/>
              </w:rPr>
              <w:t>7.88</w:t>
            </w:r>
          </w:p>
        </w:tc>
        <w:tc>
          <w:tcPr>
            <w:cnfStyle w:val="000001000000" w:firstRow="0" w:lastRow="0" w:firstColumn="0" w:lastColumn="0" w:oddVBand="0" w:evenVBand="1" w:oddHBand="0" w:evenHBand="0" w:firstRowFirstColumn="0" w:firstRowLastColumn="0" w:lastRowFirstColumn="0" w:lastRowLastColumn="0"/>
            <w:tcW w:w="925" w:type="pct"/>
            <w:tcBorders>
              <w:left w:val="none" w:sz="0" w:space="0" w:color="auto"/>
              <w:right w:val="none" w:sz="0" w:space="0" w:color="auto"/>
            </w:tcBorders>
          </w:tcPr>
          <w:p w:rsidR="00C30601" w:rsidRPr="004D1FA5" w:rsidRDefault="00C30601" w:rsidP="005B6F52">
            <w:pPr>
              <w:autoSpaceDE w:val="0"/>
              <w:autoSpaceDN w:val="0"/>
              <w:adjustRightInd w:val="0"/>
              <w:ind w:left="60" w:right="60"/>
              <w:jc w:val="right"/>
              <w:rPr>
                <w:rFonts w:ascii="Book Antiqua" w:hAnsi="Book Antiqua" w:cstheme="minorHAnsi"/>
                <w:color w:val="010205"/>
              </w:rPr>
            </w:pPr>
            <w:r w:rsidRPr="004D1FA5">
              <w:rPr>
                <w:rFonts w:ascii="Book Antiqua" w:hAnsi="Book Antiqua" w:cstheme="minorHAnsi"/>
                <w:color w:val="010205"/>
              </w:rPr>
              <w:t>15.09</w:t>
            </w:r>
          </w:p>
        </w:tc>
        <w:tc>
          <w:tcPr>
            <w:cnfStyle w:val="000010000000" w:firstRow="0" w:lastRow="0" w:firstColumn="0" w:lastColumn="0" w:oddVBand="1" w:evenVBand="0" w:oddHBand="0" w:evenHBand="0" w:firstRowFirstColumn="0" w:firstRowLastColumn="0" w:lastRowFirstColumn="0" w:lastRowLastColumn="0"/>
            <w:tcW w:w="783" w:type="pct"/>
            <w:tcBorders>
              <w:left w:val="none" w:sz="0" w:space="0" w:color="auto"/>
              <w:right w:val="none" w:sz="0" w:space="0" w:color="auto"/>
            </w:tcBorders>
          </w:tcPr>
          <w:p w:rsidR="00C30601" w:rsidRPr="004D1FA5" w:rsidRDefault="00C30601" w:rsidP="005B6F52">
            <w:pPr>
              <w:autoSpaceDE w:val="0"/>
              <w:autoSpaceDN w:val="0"/>
              <w:adjustRightInd w:val="0"/>
              <w:ind w:left="60" w:right="60"/>
              <w:jc w:val="right"/>
              <w:rPr>
                <w:rFonts w:ascii="Book Antiqua" w:hAnsi="Book Antiqua" w:cstheme="minorHAnsi"/>
                <w:color w:val="010205"/>
              </w:rPr>
            </w:pPr>
            <w:r w:rsidRPr="004D1FA5">
              <w:rPr>
                <w:rFonts w:ascii="Book Antiqua" w:hAnsi="Book Antiqua" w:cstheme="minorHAnsi"/>
                <w:color w:val="010205"/>
              </w:rPr>
              <w:t>13.30</w:t>
            </w:r>
          </w:p>
        </w:tc>
        <w:tc>
          <w:tcPr>
            <w:cnfStyle w:val="000001000000" w:firstRow="0" w:lastRow="0" w:firstColumn="0" w:lastColumn="0" w:oddVBand="0" w:evenVBand="1" w:oddHBand="0" w:evenHBand="0" w:firstRowFirstColumn="0" w:firstRowLastColumn="0" w:lastRowFirstColumn="0" w:lastRowLastColumn="0"/>
            <w:tcW w:w="1191" w:type="pct"/>
            <w:tcBorders>
              <w:left w:val="none" w:sz="0" w:space="0" w:color="auto"/>
              <w:right w:val="none" w:sz="0" w:space="0" w:color="auto"/>
            </w:tcBorders>
          </w:tcPr>
          <w:p w:rsidR="00C30601" w:rsidRPr="004D1FA5" w:rsidRDefault="00C30601" w:rsidP="005B6F52">
            <w:pPr>
              <w:autoSpaceDE w:val="0"/>
              <w:autoSpaceDN w:val="0"/>
              <w:adjustRightInd w:val="0"/>
              <w:ind w:left="60" w:right="60"/>
              <w:jc w:val="right"/>
              <w:rPr>
                <w:rFonts w:ascii="Book Antiqua" w:hAnsi="Book Antiqua" w:cstheme="minorHAnsi"/>
                <w:color w:val="010205"/>
              </w:rPr>
            </w:pPr>
            <w:r w:rsidRPr="004D1FA5">
              <w:rPr>
                <w:rFonts w:ascii="Book Antiqua" w:hAnsi="Book Antiqua" w:cstheme="minorHAnsi"/>
                <w:color w:val="010205"/>
              </w:rPr>
              <w:t>0.86</w:t>
            </w:r>
          </w:p>
        </w:tc>
      </w:tr>
    </w:tbl>
    <w:p w:rsidR="003340CC" w:rsidRPr="003340CC" w:rsidRDefault="003340CC" w:rsidP="003340CC">
      <w:pPr>
        <w:tabs>
          <w:tab w:val="left" w:pos="567"/>
        </w:tabs>
        <w:spacing w:after="0" w:line="240" w:lineRule="auto"/>
        <w:jc w:val="both"/>
        <w:rPr>
          <w:rFonts w:ascii="Cambria" w:eastAsia="Cambria" w:hAnsi="Cambria" w:cs="Cambria"/>
          <w:sz w:val="20"/>
          <w:szCs w:val="20"/>
        </w:rPr>
      </w:pPr>
      <w:r w:rsidRPr="003340CC">
        <w:rPr>
          <w:rFonts w:ascii="Cambria" w:eastAsia="Cambria" w:hAnsi="Cambria" w:cs="Cambria"/>
          <w:sz w:val="20"/>
          <w:szCs w:val="20"/>
        </w:rPr>
        <w:t xml:space="preserve"> </w:t>
      </w:r>
    </w:p>
    <w:p w:rsidR="003340CC" w:rsidRPr="003340CC" w:rsidRDefault="003340CC" w:rsidP="00C30601">
      <w:pPr>
        <w:tabs>
          <w:tab w:val="left" w:pos="567"/>
        </w:tabs>
        <w:spacing w:after="0" w:line="240" w:lineRule="auto"/>
        <w:ind w:firstLine="284"/>
        <w:jc w:val="both"/>
        <w:rPr>
          <w:rFonts w:ascii="Cambria" w:eastAsia="Cambria" w:hAnsi="Cambria" w:cs="Cambria"/>
          <w:sz w:val="20"/>
          <w:szCs w:val="20"/>
        </w:rPr>
      </w:pPr>
      <w:r w:rsidRPr="003340CC">
        <w:rPr>
          <w:rFonts w:ascii="Cambria" w:eastAsia="Cambria" w:hAnsi="Cambria" w:cs="Cambria"/>
          <w:sz w:val="20"/>
          <w:szCs w:val="20"/>
        </w:rPr>
        <w:t>The minimum SO value of 0% is held by 322 sample banks. The maximum SO value of 100% was held by BJTM in 2010-2011. The minimum value for OC is 36,907% from the 2018 BNBA Financial Statements. The maximum value for OC is 100%, there are 35 samples, some of which are BRIS 2010-2012 and BTPS 2017. The minimum value for BO is 36,907% from BNBA in 2018. Conversely, the value maximum BO of 100% comes from 30 samples such as BGTG 2013-2015 and BBHI 2013-2014. Ordinal Test</w:t>
      </w:r>
    </w:p>
    <w:p w:rsidR="004D23F5" w:rsidRDefault="004D23F5" w:rsidP="004D23F5">
      <w:pPr>
        <w:tabs>
          <w:tab w:val="left" w:pos="567"/>
        </w:tabs>
        <w:spacing w:after="0" w:line="240" w:lineRule="auto"/>
        <w:jc w:val="both"/>
        <w:rPr>
          <w:rFonts w:ascii="Cambria" w:eastAsia="Cambria" w:hAnsi="Cambria" w:cs="Cambria"/>
          <w:sz w:val="20"/>
          <w:szCs w:val="20"/>
        </w:rPr>
      </w:pPr>
    </w:p>
    <w:p w:rsidR="003340CC" w:rsidRPr="004D23F5" w:rsidRDefault="003340CC" w:rsidP="004D23F5">
      <w:pPr>
        <w:tabs>
          <w:tab w:val="left" w:pos="567"/>
        </w:tabs>
        <w:spacing w:after="0" w:line="240" w:lineRule="auto"/>
        <w:jc w:val="both"/>
        <w:rPr>
          <w:rFonts w:ascii="Cambria" w:eastAsia="Cambria" w:hAnsi="Cambria" w:cs="Cambria"/>
          <w:b/>
          <w:bCs/>
          <w:sz w:val="20"/>
          <w:szCs w:val="20"/>
        </w:rPr>
      </w:pPr>
      <w:r w:rsidRPr="004D23F5">
        <w:rPr>
          <w:rFonts w:ascii="Cambria" w:eastAsia="Cambria" w:hAnsi="Cambria" w:cs="Cambria"/>
          <w:b/>
          <w:bCs/>
          <w:sz w:val="20"/>
          <w:szCs w:val="20"/>
        </w:rPr>
        <w:t>Logistics Regression</w:t>
      </w:r>
    </w:p>
    <w:p w:rsidR="003340CC" w:rsidRPr="003340CC" w:rsidRDefault="003340CC" w:rsidP="00C30601">
      <w:pPr>
        <w:tabs>
          <w:tab w:val="left" w:pos="567"/>
        </w:tabs>
        <w:spacing w:after="0" w:line="240" w:lineRule="auto"/>
        <w:ind w:firstLine="284"/>
        <w:jc w:val="both"/>
        <w:rPr>
          <w:rFonts w:ascii="Cambria" w:eastAsia="Cambria" w:hAnsi="Cambria" w:cs="Cambria"/>
          <w:sz w:val="20"/>
          <w:szCs w:val="20"/>
        </w:rPr>
      </w:pPr>
      <w:r w:rsidRPr="003340CC">
        <w:rPr>
          <w:rFonts w:ascii="Cambria" w:eastAsia="Cambria" w:hAnsi="Cambria" w:cs="Cambria"/>
          <w:sz w:val="20"/>
          <w:szCs w:val="20"/>
        </w:rPr>
        <w:t xml:space="preserve">In the Model Fitting Information test, the first model showed an intercept only value of 2LogLikelihood of 576,802, after adding the independent variables SO and OC 2LogLikelihood decreased to 574,373. This model is significant at 0.724. The second model shows the intercept only 2LogLikelihood value of 576,802, after adding the independent variables SO and BO 2LogLikelihood decreases to 574,774. Decreasing 2LogLikelihood shows a better model when the independent variables are added. </w:t>
      </w:r>
    </w:p>
    <w:p w:rsidR="004D23F5" w:rsidRDefault="004D23F5" w:rsidP="00C30601">
      <w:pPr>
        <w:tabs>
          <w:tab w:val="left" w:pos="567"/>
        </w:tabs>
        <w:spacing w:after="0" w:line="240" w:lineRule="auto"/>
        <w:jc w:val="center"/>
        <w:rPr>
          <w:rFonts w:ascii="Cambria" w:eastAsia="Cambria" w:hAnsi="Cambria" w:cs="Cambria"/>
          <w:b/>
          <w:bCs/>
          <w:sz w:val="20"/>
          <w:szCs w:val="20"/>
        </w:rPr>
      </w:pPr>
    </w:p>
    <w:p w:rsidR="003340CC" w:rsidRPr="00C30601" w:rsidRDefault="003340CC" w:rsidP="00C30601">
      <w:pPr>
        <w:tabs>
          <w:tab w:val="left" w:pos="567"/>
        </w:tabs>
        <w:spacing w:after="0" w:line="240" w:lineRule="auto"/>
        <w:jc w:val="center"/>
        <w:rPr>
          <w:rFonts w:ascii="Cambria" w:eastAsia="Cambria" w:hAnsi="Cambria" w:cs="Cambria"/>
          <w:b/>
          <w:bCs/>
          <w:sz w:val="20"/>
          <w:szCs w:val="20"/>
        </w:rPr>
      </w:pPr>
      <w:r w:rsidRPr="00C30601">
        <w:rPr>
          <w:rFonts w:ascii="Cambria" w:eastAsia="Cambria" w:hAnsi="Cambria" w:cs="Cambria"/>
          <w:b/>
          <w:bCs/>
          <w:sz w:val="20"/>
          <w:szCs w:val="20"/>
        </w:rPr>
        <w:t>Table 4</w:t>
      </w:r>
    </w:p>
    <w:tbl>
      <w:tblPr>
        <w:tblStyle w:val="TableGrid"/>
        <w:tblW w:w="0" w:type="auto"/>
        <w:jc w:val="center"/>
        <w:tblBorders>
          <w:left w:val="none" w:sz="0" w:space="0" w:color="auto"/>
          <w:right w:val="none" w:sz="0" w:space="0" w:color="auto"/>
        </w:tblBorders>
        <w:shd w:val="clear" w:color="auto" w:fill="FFFFFF" w:themeFill="background1"/>
        <w:tblLook w:val="04A0" w:firstRow="1" w:lastRow="0" w:firstColumn="1" w:lastColumn="0" w:noHBand="0" w:noVBand="1"/>
      </w:tblPr>
      <w:tblGrid>
        <w:gridCol w:w="1537"/>
        <w:gridCol w:w="1395"/>
        <w:gridCol w:w="1395"/>
      </w:tblGrid>
      <w:tr w:rsidR="00C30601" w:rsidRPr="004D23F5" w:rsidTr="004D23F5">
        <w:trPr>
          <w:jc w:val="center"/>
        </w:trPr>
        <w:tc>
          <w:tcPr>
            <w:tcW w:w="1537" w:type="dxa"/>
            <w:shd w:val="clear" w:color="auto" w:fill="FFFFFF" w:themeFill="background1"/>
          </w:tcPr>
          <w:p w:rsidR="00C30601" w:rsidRPr="004D23F5" w:rsidRDefault="00C30601" w:rsidP="005B6F52">
            <w:pPr>
              <w:jc w:val="center"/>
              <w:rPr>
                <w:rFonts w:ascii="Cambria" w:hAnsi="Cambria" w:cstheme="minorHAnsi"/>
                <w:b/>
                <w:sz w:val="20"/>
                <w:szCs w:val="20"/>
              </w:rPr>
            </w:pPr>
            <w:r w:rsidRPr="004D23F5">
              <w:rPr>
                <w:rFonts w:ascii="Cambria" w:hAnsi="Cambria" w:cstheme="minorHAnsi"/>
                <w:b/>
                <w:sz w:val="20"/>
                <w:szCs w:val="20"/>
              </w:rPr>
              <w:t>Indicator</w:t>
            </w:r>
          </w:p>
        </w:tc>
        <w:tc>
          <w:tcPr>
            <w:tcW w:w="1395" w:type="dxa"/>
            <w:shd w:val="clear" w:color="auto" w:fill="FFFFFF" w:themeFill="background1"/>
          </w:tcPr>
          <w:p w:rsidR="00C30601" w:rsidRPr="004D23F5" w:rsidRDefault="00C30601" w:rsidP="005B6F52">
            <w:pPr>
              <w:jc w:val="center"/>
              <w:rPr>
                <w:rFonts w:ascii="Cambria" w:hAnsi="Cambria" w:cstheme="minorHAnsi"/>
                <w:b/>
                <w:sz w:val="20"/>
                <w:szCs w:val="20"/>
              </w:rPr>
            </w:pPr>
            <w:r w:rsidRPr="004D23F5">
              <w:rPr>
                <w:rFonts w:ascii="Cambria" w:hAnsi="Cambria" w:cstheme="minorHAnsi"/>
                <w:b/>
                <w:sz w:val="20"/>
                <w:szCs w:val="20"/>
              </w:rPr>
              <w:t>OC Dependent Variables</w:t>
            </w:r>
          </w:p>
        </w:tc>
        <w:tc>
          <w:tcPr>
            <w:tcW w:w="1395" w:type="dxa"/>
            <w:shd w:val="clear" w:color="auto" w:fill="FFFFFF" w:themeFill="background1"/>
          </w:tcPr>
          <w:p w:rsidR="00C30601" w:rsidRPr="004D23F5" w:rsidRDefault="00C30601" w:rsidP="005B6F52">
            <w:pPr>
              <w:jc w:val="center"/>
              <w:rPr>
                <w:rFonts w:ascii="Cambria" w:hAnsi="Cambria" w:cstheme="minorHAnsi"/>
                <w:b/>
                <w:sz w:val="20"/>
                <w:szCs w:val="20"/>
              </w:rPr>
            </w:pPr>
            <w:r w:rsidRPr="004D23F5">
              <w:rPr>
                <w:rFonts w:ascii="Cambria" w:hAnsi="Cambria" w:cstheme="minorHAnsi"/>
                <w:b/>
                <w:sz w:val="20"/>
                <w:szCs w:val="20"/>
              </w:rPr>
              <w:t>BO Dependent Variables</w:t>
            </w:r>
          </w:p>
        </w:tc>
      </w:tr>
      <w:tr w:rsidR="00C30601" w:rsidRPr="004D23F5" w:rsidTr="004D23F5">
        <w:trPr>
          <w:jc w:val="center"/>
        </w:trPr>
        <w:tc>
          <w:tcPr>
            <w:tcW w:w="4327" w:type="dxa"/>
            <w:gridSpan w:val="3"/>
            <w:shd w:val="clear" w:color="auto" w:fill="FFFFFF" w:themeFill="background1"/>
          </w:tcPr>
          <w:p w:rsidR="00C30601" w:rsidRPr="004D23F5" w:rsidRDefault="00C30601" w:rsidP="005B6F52">
            <w:pPr>
              <w:jc w:val="center"/>
              <w:rPr>
                <w:rFonts w:ascii="Cambria" w:hAnsi="Cambria" w:cstheme="minorHAnsi"/>
                <w:sz w:val="20"/>
                <w:szCs w:val="20"/>
              </w:rPr>
            </w:pPr>
            <w:r w:rsidRPr="004D23F5">
              <w:rPr>
                <w:rFonts w:ascii="Cambria" w:hAnsi="Cambria" w:cstheme="minorHAnsi"/>
                <w:b/>
                <w:bCs/>
                <w:sz w:val="20"/>
                <w:szCs w:val="20"/>
              </w:rPr>
              <w:lastRenderedPageBreak/>
              <w:t>Model Fitting Information</w:t>
            </w:r>
          </w:p>
        </w:tc>
      </w:tr>
      <w:tr w:rsidR="00C30601" w:rsidRPr="004D23F5" w:rsidTr="004D23F5">
        <w:trPr>
          <w:jc w:val="center"/>
        </w:trPr>
        <w:tc>
          <w:tcPr>
            <w:tcW w:w="1537" w:type="dxa"/>
            <w:shd w:val="clear" w:color="auto" w:fill="FFFFFF" w:themeFill="background1"/>
          </w:tcPr>
          <w:p w:rsidR="00C30601" w:rsidRPr="004D23F5" w:rsidRDefault="00C30601" w:rsidP="005B6F52">
            <w:pPr>
              <w:rPr>
                <w:rFonts w:ascii="Cambria" w:hAnsi="Cambria" w:cstheme="minorHAnsi"/>
                <w:i/>
                <w:sz w:val="20"/>
                <w:szCs w:val="20"/>
              </w:rPr>
            </w:pPr>
            <w:r w:rsidRPr="004D23F5">
              <w:rPr>
                <w:rFonts w:ascii="Cambria" w:hAnsi="Cambria" w:cstheme="minorHAnsi"/>
                <w:sz w:val="20"/>
                <w:szCs w:val="20"/>
              </w:rPr>
              <w:t>-2 Log Likelihoods</w:t>
            </w:r>
          </w:p>
        </w:tc>
        <w:tc>
          <w:tcPr>
            <w:tcW w:w="1395" w:type="dxa"/>
            <w:shd w:val="clear" w:color="auto" w:fill="FFFFFF" w:themeFill="background1"/>
          </w:tcPr>
          <w:p w:rsidR="00C30601" w:rsidRPr="004D23F5" w:rsidRDefault="00C30601" w:rsidP="005B6F52">
            <w:pPr>
              <w:jc w:val="center"/>
              <w:rPr>
                <w:rFonts w:ascii="Cambria" w:hAnsi="Cambria" w:cstheme="minorHAnsi"/>
                <w:sz w:val="20"/>
                <w:szCs w:val="20"/>
              </w:rPr>
            </w:pPr>
          </w:p>
        </w:tc>
        <w:tc>
          <w:tcPr>
            <w:tcW w:w="1395" w:type="dxa"/>
            <w:shd w:val="clear" w:color="auto" w:fill="FFFFFF" w:themeFill="background1"/>
          </w:tcPr>
          <w:p w:rsidR="00C30601" w:rsidRPr="004D23F5" w:rsidRDefault="00C30601" w:rsidP="005B6F52">
            <w:pPr>
              <w:jc w:val="center"/>
              <w:rPr>
                <w:rFonts w:ascii="Cambria" w:hAnsi="Cambria" w:cstheme="minorHAnsi"/>
                <w:sz w:val="20"/>
                <w:szCs w:val="20"/>
              </w:rPr>
            </w:pPr>
          </w:p>
        </w:tc>
      </w:tr>
      <w:tr w:rsidR="00C30601" w:rsidRPr="004D23F5" w:rsidTr="004D23F5">
        <w:trPr>
          <w:jc w:val="center"/>
        </w:trPr>
        <w:tc>
          <w:tcPr>
            <w:tcW w:w="1537" w:type="dxa"/>
            <w:shd w:val="clear" w:color="auto" w:fill="FFFFFF" w:themeFill="background1"/>
          </w:tcPr>
          <w:p w:rsidR="00C30601" w:rsidRPr="004D23F5" w:rsidRDefault="00C30601" w:rsidP="005B6F52">
            <w:pPr>
              <w:rPr>
                <w:rFonts w:ascii="Cambria" w:hAnsi="Cambria" w:cstheme="minorHAnsi"/>
                <w:i/>
                <w:sz w:val="20"/>
                <w:szCs w:val="20"/>
              </w:rPr>
            </w:pPr>
            <w:r w:rsidRPr="004D23F5">
              <w:rPr>
                <w:rFonts w:ascii="Cambria" w:hAnsi="Cambria" w:cstheme="minorHAnsi"/>
                <w:sz w:val="20"/>
                <w:szCs w:val="20"/>
              </w:rPr>
              <w:t>Intercept Only</w:t>
            </w:r>
          </w:p>
        </w:tc>
        <w:tc>
          <w:tcPr>
            <w:tcW w:w="1395" w:type="dxa"/>
            <w:shd w:val="clear" w:color="auto" w:fill="FFFFFF" w:themeFill="background1"/>
          </w:tcPr>
          <w:p w:rsidR="00C30601" w:rsidRPr="004D23F5" w:rsidRDefault="00C30601" w:rsidP="005B6F52">
            <w:pPr>
              <w:jc w:val="center"/>
              <w:rPr>
                <w:rFonts w:ascii="Cambria" w:hAnsi="Cambria" w:cstheme="minorHAnsi"/>
                <w:sz w:val="20"/>
                <w:szCs w:val="20"/>
              </w:rPr>
            </w:pPr>
            <w:r w:rsidRPr="004D23F5">
              <w:rPr>
                <w:rFonts w:ascii="Cambria" w:hAnsi="Cambria" w:cstheme="minorHAnsi"/>
                <w:sz w:val="20"/>
                <w:szCs w:val="20"/>
              </w:rPr>
              <w:t>576,802</w:t>
            </w:r>
          </w:p>
        </w:tc>
        <w:tc>
          <w:tcPr>
            <w:tcW w:w="1395" w:type="dxa"/>
            <w:shd w:val="clear" w:color="auto" w:fill="FFFFFF" w:themeFill="background1"/>
          </w:tcPr>
          <w:p w:rsidR="00C30601" w:rsidRPr="004D23F5" w:rsidRDefault="00C30601" w:rsidP="005B6F52">
            <w:pPr>
              <w:jc w:val="center"/>
              <w:rPr>
                <w:rFonts w:ascii="Cambria" w:hAnsi="Cambria" w:cstheme="minorHAnsi"/>
                <w:sz w:val="20"/>
                <w:szCs w:val="20"/>
              </w:rPr>
            </w:pPr>
            <w:r w:rsidRPr="004D23F5">
              <w:rPr>
                <w:rFonts w:ascii="Cambria" w:hAnsi="Cambria" w:cstheme="minorHAnsi"/>
                <w:sz w:val="20"/>
                <w:szCs w:val="20"/>
              </w:rPr>
              <w:t>576,802</w:t>
            </w:r>
          </w:p>
        </w:tc>
      </w:tr>
      <w:tr w:rsidR="00C30601" w:rsidRPr="004D23F5" w:rsidTr="004D23F5">
        <w:trPr>
          <w:jc w:val="center"/>
        </w:trPr>
        <w:tc>
          <w:tcPr>
            <w:tcW w:w="1537" w:type="dxa"/>
            <w:shd w:val="clear" w:color="auto" w:fill="FFFFFF" w:themeFill="background1"/>
          </w:tcPr>
          <w:p w:rsidR="00C30601" w:rsidRPr="004D23F5" w:rsidRDefault="00C30601" w:rsidP="005B6F52">
            <w:pPr>
              <w:rPr>
                <w:rFonts w:ascii="Cambria" w:hAnsi="Cambria" w:cstheme="minorHAnsi"/>
                <w:i/>
                <w:sz w:val="20"/>
                <w:szCs w:val="20"/>
              </w:rPr>
            </w:pPr>
            <w:r w:rsidRPr="004D23F5">
              <w:rPr>
                <w:rFonts w:ascii="Cambria" w:hAnsi="Cambria" w:cstheme="minorHAnsi"/>
                <w:sz w:val="20"/>
                <w:szCs w:val="20"/>
              </w:rPr>
              <w:t>Finals</w:t>
            </w:r>
          </w:p>
        </w:tc>
        <w:tc>
          <w:tcPr>
            <w:tcW w:w="1395" w:type="dxa"/>
            <w:shd w:val="clear" w:color="auto" w:fill="FFFFFF" w:themeFill="background1"/>
          </w:tcPr>
          <w:p w:rsidR="00C30601" w:rsidRPr="004D23F5" w:rsidRDefault="00C30601" w:rsidP="005B6F52">
            <w:pPr>
              <w:jc w:val="center"/>
              <w:rPr>
                <w:rFonts w:ascii="Cambria" w:hAnsi="Cambria" w:cstheme="minorHAnsi"/>
                <w:sz w:val="20"/>
                <w:szCs w:val="20"/>
              </w:rPr>
            </w:pPr>
            <w:r w:rsidRPr="004D23F5">
              <w:rPr>
                <w:rFonts w:ascii="Cambria" w:hAnsi="Cambria" w:cstheme="minorHAnsi"/>
                <w:sz w:val="20"/>
                <w:szCs w:val="20"/>
              </w:rPr>
              <w:t>574,373</w:t>
            </w:r>
          </w:p>
        </w:tc>
        <w:tc>
          <w:tcPr>
            <w:tcW w:w="1395" w:type="dxa"/>
            <w:shd w:val="clear" w:color="auto" w:fill="FFFFFF" w:themeFill="background1"/>
          </w:tcPr>
          <w:p w:rsidR="00C30601" w:rsidRPr="004D23F5" w:rsidRDefault="00C30601" w:rsidP="005B6F52">
            <w:pPr>
              <w:jc w:val="center"/>
              <w:rPr>
                <w:rFonts w:ascii="Cambria" w:hAnsi="Cambria" w:cstheme="minorHAnsi"/>
                <w:sz w:val="20"/>
                <w:szCs w:val="20"/>
              </w:rPr>
            </w:pPr>
            <w:r w:rsidRPr="004D23F5">
              <w:rPr>
                <w:rFonts w:ascii="Cambria" w:hAnsi="Cambria" w:cstheme="minorHAnsi"/>
                <w:sz w:val="20"/>
                <w:szCs w:val="20"/>
              </w:rPr>
              <w:t>574,774</w:t>
            </w:r>
          </w:p>
        </w:tc>
      </w:tr>
      <w:tr w:rsidR="00C30601" w:rsidRPr="004D23F5" w:rsidTr="004D23F5">
        <w:trPr>
          <w:jc w:val="center"/>
        </w:trPr>
        <w:tc>
          <w:tcPr>
            <w:tcW w:w="1537" w:type="dxa"/>
            <w:shd w:val="clear" w:color="auto" w:fill="FFFFFF" w:themeFill="background1"/>
          </w:tcPr>
          <w:p w:rsidR="00C30601" w:rsidRPr="004D23F5" w:rsidRDefault="00C30601" w:rsidP="005B6F52">
            <w:pPr>
              <w:rPr>
                <w:rFonts w:ascii="Cambria" w:hAnsi="Cambria" w:cstheme="minorHAnsi"/>
                <w:i/>
                <w:sz w:val="20"/>
                <w:szCs w:val="20"/>
              </w:rPr>
            </w:pPr>
            <w:r w:rsidRPr="004D23F5">
              <w:rPr>
                <w:rFonts w:ascii="Cambria" w:hAnsi="Cambria" w:cstheme="minorHAnsi"/>
                <w:sz w:val="20"/>
                <w:szCs w:val="20"/>
              </w:rPr>
              <w:t>Chi-Square</w:t>
            </w:r>
          </w:p>
        </w:tc>
        <w:tc>
          <w:tcPr>
            <w:tcW w:w="1395" w:type="dxa"/>
            <w:shd w:val="clear" w:color="auto" w:fill="FFFFFF" w:themeFill="background1"/>
          </w:tcPr>
          <w:p w:rsidR="00C30601" w:rsidRPr="004D23F5" w:rsidRDefault="00C30601" w:rsidP="005B6F52">
            <w:pPr>
              <w:jc w:val="center"/>
              <w:rPr>
                <w:rFonts w:ascii="Cambria" w:hAnsi="Cambria" w:cstheme="minorHAnsi"/>
                <w:sz w:val="20"/>
                <w:szCs w:val="20"/>
              </w:rPr>
            </w:pPr>
            <w:r w:rsidRPr="004D23F5">
              <w:rPr>
                <w:rFonts w:ascii="Cambria" w:hAnsi="Cambria" w:cstheme="minorHAnsi"/>
                <w:sz w:val="20"/>
                <w:szCs w:val="20"/>
              </w:rPr>
              <w:t>2,066</w:t>
            </w:r>
          </w:p>
        </w:tc>
        <w:tc>
          <w:tcPr>
            <w:tcW w:w="1395" w:type="dxa"/>
            <w:shd w:val="clear" w:color="auto" w:fill="FFFFFF" w:themeFill="background1"/>
          </w:tcPr>
          <w:p w:rsidR="00C30601" w:rsidRPr="004D23F5" w:rsidRDefault="00C30601" w:rsidP="005B6F52">
            <w:pPr>
              <w:jc w:val="center"/>
              <w:rPr>
                <w:rFonts w:ascii="Cambria" w:hAnsi="Cambria" w:cstheme="minorHAnsi"/>
                <w:sz w:val="20"/>
                <w:szCs w:val="20"/>
              </w:rPr>
            </w:pPr>
            <w:r w:rsidRPr="004D23F5">
              <w:rPr>
                <w:rFonts w:ascii="Cambria" w:hAnsi="Cambria" w:cstheme="minorHAnsi"/>
                <w:sz w:val="20"/>
                <w:szCs w:val="20"/>
              </w:rPr>
              <w:t>2,028</w:t>
            </w:r>
          </w:p>
        </w:tc>
      </w:tr>
      <w:tr w:rsidR="00C30601" w:rsidRPr="004D23F5" w:rsidTr="004D23F5">
        <w:trPr>
          <w:jc w:val="center"/>
        </w:trPr>
        <w:tc>
          <w:tcPr>
            <w:tcW w:w="1537" w:type="dxa"/>
            <w:shd w:val="clear" w:color="auto" w:fill="FFFFFF" w:themeFill="background1"/>
          </w:tcPr>
          <w:p w:rsidR="00C30601" w:rsidRPr="004D23F5" w:rsidRDefault="00C30601" w:rsidP="005B6F52">
            <w:pPr>
              <w:rPr>
                <w:rFonts w:ascii="Cambria" w:hAnsi="Cambria" w:cstheme="minorHAnsi"/>
                <w:i/>
                <w:sz w:val="20"/>
                <w:szCs w:val="20"/>
              </w:rPr>
            </w:pPr>
            <w:r w:rsidRPr="004D23F5">
              <w:rPr>
                <w:rFonts w:ascii="Cambria" w:hAnsi="Cambria" w:cstheme="minorHAnsi"/>
                <w:sz w:val="20"/>
                <w:szCs w:val="20"/>
              </w:rPr>
              <w:t>Df</w:t>
            </w:r>
          </w:p>
        </w:tc>
        <w:tc>
          <w:tcPr>
            <w:tcW w:w="1395" w:type="dxa"/>
            <w:shd w:val="clear" w:color="auto" w:fill="FFFFFF" w:themeFill="background1"/>
          </w:tcPr>
          <w:p w:rsidR="00C30601" w:rsidRPr="004D23F5" w:rsidRDefault="00C30601" w:rsidP="005B6F52">
            <w:pPr>
              <w:jc w:val="center"/>
              <w:rPr>
                <w:rFonts w:ascii="Cambria" w:hAnsi="Cambria" w:cstheme="minorHAnsi"/>
                <w:sz w:val="20"/>
                <w:szCs w:val="20"/>
              </w:rPr>
            </w:pPr>
            <w:r w:rsidRPr="004D23F5">
              <w:rPr>
                <w:rFonts w:ascii="Cambria" w:hAnsi="Cambria" w:cstheme="minorHAnsi"/>
                <w:sz w:val="20"/>
                <w:szCs w:val="20"/>
              </w:rPr>
              <w:t>4</w:t>
            </w:r>
          </w:p>
        </w:tc>
        <w:tc>
          <w:tcPr>
            <w:tcW w:w="1395" w:type="dxa"/>
            <w:shd w:val="clear" w:color="auto" w:fill="FFFFFF" w:themeFill="background1"/>
          </w:tcPr>
          <w:p w:rsidR="00C30601" w:rsidRPr="004D23F5" w:rsidRDefault="00C30601" w:rsidP="005B6F52">
            <w:pPr>
              <w:jc w:val="center"/>
              <w:rPr>
                <w:rFonts w:ascii="Cambria" w:hAnsi="Cambria" w:cstheme="minorHAnsi"/>
                <w:sz w:val="20"/>
                <w:szCs w:val="20"/>
              </w:rPr>
            </w:pPr>
            <w:r w:rsidRPr="004D23F5">
              <w:rPr>
                <w:rFonts w:ascii="Cambria" w:hAnsi="Cambria" w:cstheme="minorHAnsi"/>
                <w:sz w:val="20"/>
                <w:szCs w:val="20"/>
              </w:rPr>
              <w:t>4</w:t>
            </w:r>
          </w:p>
        </w:tc>
      </w:tr>
      <w:tr w:rsidR="00C30601" w:rsidRPr="004D23F5" w:rsidTr="004D23F5">
        <w:trPr>
          <w:jc w:val="center"/>
        </w:trPr>
        <w:tc>
          <w:tcPr>
            <w:tcW w:w="1537" w:type="dxa"/>
            <w:shd w:val="clear" w:color="auto" w:fill="FFFFFF" w:themeFill="background1"/>
          </w:tcPr>
          <w:p w:rsidR="00C30601" w:rsidRPr="004D23F5" w:rsidRDefault="00C30601" w:rsidP="005B6F52">
            <w:pPr>
              <w:rPr>
                <w:rFonts w:ascii="Cambria" w:hAnsi="Cambria" w:cstheme="minorHAnsi"/>
                <w:i/>
                <w:sz w:val="20"/>
                <w:szCs w:val="20"/>
              </w:rPr>
            </w:pPr>
            <w:r w:rsidRPr="004D23F5">
              <w:rPr>
                <w:rFonts w:ascii="Cambria" w:hAnsi="Cambria" w:cstheme="minorHAnsi"/>
                <w:sz w:val="20"/>
                <w:szCs w:val="20"/>
              </w:rPr>
              <w:t>Sig.</w:t>
            </w:r>
          </w:p>
        </w:tc>
        <w:tc>
          <w:tcPr>
            <w:tcW w:w="1395" w:type="dxa"/>
            <w:shd w:val="clear" w:color="auto" w:fill="FFFFFF" w:themeFill="background1"/>
          </w:tcPr>
          <w:p w:rsidR="00C30601" w:rsidRPr="004D23F5" w:rsidRDefault="00C30601" w:rsidP="005B6F52">
            <w:pPr>
              <w:jc w:val="center"/>
              <w:rPr>
                <w:rFonts w:ascii="Cambria" w:hAnsi="Cambria" w:cstheme="minorHAnsi"/>
                <w:sz w:val="20"/>
                <w:szCs w:val="20"/>
              </w:rPr>
            </w:pPr>
            <w:r w:rsidRPr="004D23F5">
              <w:rPr>
                <w:rFonts w:ascii="Cambria" w:hAnsi="Cambria" w:cstheme="minorHAnsi"/>
                <w:sz w:val="20"/>
                <w:szCs w:val="20"/>
              </w:rPr>
              <w:t>0.724</w:t>
            </w:r>
          </w:p>
        </w:tc>
        <w:tc>
          <w:tcPr>
            <w:tcW w:w="1395" w:type="dxa"/>
            <w:shd w:val="clear" w:color="auto" w:fill="FFFFFF" w:themeFill="background1"/>
          </w:tcPr>
          <w:p w:rsidR="00C30601" w:rsidRPr="004D23F5" w:rsidRDefault="00C30601" w:rsidP="005B6F52">
            <w:pPr>
              <w:jc w:val="center"/>
              <w:rPr>
                <w:rFonts w:ascii="Cambria" w:hAnsi="Cambria" w:cstheme="minorHAnsi"/>
                <w:sz w:val="20"/>
                <w:szCs w:val="20"/>
              </w:rPr>
            </w:pPr>
            <w:r w:rsidRPr="004D23F5">
              <w:rPr>
                <w:rFonts w:ascii="Cambria" w:hAnsi="Cambria" w:cstheme="minorHAnsi"/>
                <w:sz w:val="20"/>
                <w:szCs w:val="20"/>
              </w:rPr>
              <w:t>0.731</w:t>
            </w:r>
          </w:p>
        </w:tc>
      </w:tr>
      <w:tr w:rsidR="00C30601" w:rsidRPr="004D23F5" w:rsidTr="004D23F5">
        <w:trPr>
          <w:jc w:val="center"/>
        </w:trPr>
        <w:tc>
          <w:tcPr>
            <w:tcW w:w="4327" w:type="dxa"/>
            <w:gridSpan w:val="3"/>
            <w:shd w:val="clear" w:color="auto" w:fill="FFFFFF" w:themeFill="background1"/>
          </w:tcPr>
          <w:p w:rsidR="00C30601" w:rsidRPr="004D23F5" w:rsidRDefault="00C30601" w:rsidP="005B6F52">
            <w:pPr>
              <w:jc w:val="center"/>
              <w:rPr>
                <w:rFonts w:ascii="Cambria" w:hAnsi="Cambria" w:cstheme="minorHAnsi"/>
                <w:sz w:val="20"/>
                <w:szCs w:val="20"/>
              </w:rPr>
            </w:pPr>
            <w:r w:rsidRPr="004D23F5">
              <w:rPr>
                <w:rFonts w:ascii="Cambria" w:hAnsi="Cambria" w:cstheme="minorHAnsi"/>
                <w:b/>
                <w:bCs/>
                <w:sz w:val="20"/>
                <w:szCs w:val="20"/>
              </w:rPr>
              <w:t>Pseudo R-Square</w:t>
            </w:r>
          </w:p>
        </w:tc>
      </w:tr>
      <w:tr w:rsidR="00C30601" w:rsidRPr="004D23F5" w:rsidTr="004D23F5">
        <w:trPr>
          <w:jc w:val="center"/>
        </w:trPr>
        <w:tc>
          <w:tcPr>
            <w:tcW w:w="1537" w:type="dxa"/>
            <w:shd w:val="clear" w:color="auto" w:fill="FFFFFF" w:themeFill="background1"/>
          </w:tcPr>
          <w:p w:rsidR="00C30601" w:rsidRPr="004D23F5" w:rsidRDefault="00C30601" w:rsidP="005B6F52">
            <w:pPr>
              <w:autoSpaceDE w:val="0"/>
              <w:autoSpaceDN w:val="0"/>
              <w:adjustRightInd w:val="0"/>
              <w:ind w:left="60" w:right="60"/>
              <w:rPr>
                <w:rFonts w:ascii="Cambria" w:hAnsi="Cambria" w:cstheme="minorHAnsi"/>
                <w:sz w:val="20"/>
                <w:szCs w:val="20"/>
              </w:rPr>
            </w:pPr>
            <w:r w:rsidRPr="004D23F5">
              <w:rPr>
                <w:rFonts w:ascii="Cambria" w:hAnsi="Cambria" w:cstheme="minorHAnsi"/>
                <w:sz w:val="20"/>
                <w:szCs w:val="20"/>
              </w:rPr>
              <w:t>Cox and Snell</w:t>
            </w:r>
          </w:p>
        </w:tc>
        <w:tc>
          <w:tcPr>
            <w:tcW w:w="1395" w:type="dxa"/>
            <w:shd w:val="clear" w:color="auto" w:fill="FFFFFF" w:themeFill="background1"/>
          </w:tcPr>
          <w:p w:rsidR="00C30601" w:rsidRPr="004D23F5" w:rsidRDefault="00C30601" w:rsidP="005B6F52">
            <w:pPr>
              <w:autoSpaceDE w:val="0"/>
              <w:autoSpaceDN w:val="0"/>
              <w:adjustRightInd w:val="0"/>
              <w:ind w:left="60" w:right="60"/>
              <w:jc w:val="center"/>
              <w:rPr>
                <w:rFonts w:ascii="Cambria" w:hAnsi="Cambria" w:cstheme="minorHAnsi"/>
                <w:sz w:val="20"/>
                <w:szCs w:val="20"/>
              </w:rPr>
            </w:pPr>
            <w:r w:rsidRPr="004D23F5">
              <w:rPr>
                <w:rFonts w:ascii="Cambria" w:hAnsi="Cambria" w:cstheme="minorHAnsi"/>
                <w:sz w:val="20"/>
                <w:szCs w:val="20"/>
              </w:rPr>
              <w:t>0.005</w:t>
            </w:r>
          </w:p>
        </w:tc>
        <w:tc>
          <w:tcPr>
            <w:tcW w:w="1395" w:type="dxa"/>
            <w:shd w:val="clear" w:color="auto" w:fill="FFFFFF" w:themeFill="background1"/>
          </w:tcPr>
          <w:p w:rsidR="00C30601" w:rsidRPr="004D23F5" w:rsidRDefault="00C30601" w:rsidP="005B6F52">
            <w:pPr>
              <w:autoSpaceDE w:val="0"/>
              <w:autoSpaceDN w:val="0"/>
              <w:adjustRightInd w:val="0"/>
              <w:ind w:left="60" w:right="60"/>
              <w:jc w:val="center"/>
              <w:rPr>
                <w:rFonts w:ascii="Cambria" w:hAnsi="Cambria" w:cstheme="minorHAnsi"/>
                <w:sz w:val="20"/>
                <w:szCs w:val="20"/>
              </w:rPr>
            </w:pPr>
            <w:r w:rsidRPr="004D23F5">
              <w:rPr>
                <w:rFonts w:ascii="Cambria" w:hAnsi="Cambria" w:cstheme="minorHAnsi"/>
                <w:sz w:val="20"/>
                <w:szCs w:val="20"/>
              </w:rPr>
              <w:t>0.005</w:t>
            </w:r>
          </w:p>
        </w:tc>
      </w:tr>
      <w:tr w:rsidR="00C30601" w:rsidRPr="004D23F5" w:rsidTr="004D23F5">
        <w:trPr>
          <w:jc w:val="center"/>
        </w:trPr>
        <w:tc>
          <w:tcPr>
            <w:tcW w:w="1537" w:type="dxa"/>
            <w:shd w:val="clear" w:color="auto" w:fill="FFFFFF" w:themeFill="background1"/>
          </w:tcPr>
          <w:p w:rsidR="00C30601" w:rsidRPr="004D23F5" w:rsidRDefault="00C30601" w:rsidP="005B6F52">
            <w:pPr>
              <w:autoSpaceDE w:val="0"/>
              <w:autoSpaceDN w:val="0"/>
              <w:adjustRightInd w:val="0"/>
              <w:ind w:left="60" w:right="60"/>
              <w:rPr>
                <w:rFonts w:ascii="Cambria" w:hAnsi="Cambria" w:cstheme="minorHAnsi"/>
                <w:sz w:val="20"/>
                <w:szCs w:val="20"/>
              </w:rPr>
            </w:pPr>
            <w:r w:rsidRPr="004D23F5">
              <w:rPr>
                <w:rFonts w:ascii="Cambria" w:hAnsi="Cambria" w:cstheme="minorHAnsi"/>
                <w:sz w:val="20"/>
                <w:szCs w:val="20"/>
              </w:rPr>
              <w:t>Nagelkerke</w:t>
            </w:r>
          </w:p>
        </w:tc>
        <w:tc>
          <w:tcPr>
            <w:tcW w:w="1395" w:type="dxa"/>
            <w:shd w:val="clear" w:color="auto" w:fill="FFFFFF" w:themeFill="background1"/>
          </w:tcPr>
          <w:p w:rsidR="00C30601" w:rsidRPr="004D23F5" w:rsidRDefault="00C30601" w:rsidP="005B6F52">
            <w:pPr>
              <w:autoSpaceDE w:val="0"/>
              <w:autoSpaceDN w:val="0"/>
              <w:adjustRightInd w:val="0"/>
              <w:ind w:left="60" w:right="60"/>
              <w:jc w:val="center"/>
              <w:rPr>
                <w:rFonts w:ascii="Cambria" w:hAnsi="Cambria" w:cstheme="minorHAnsi"/>
                <w:sz w:val="20"/>
                <w:szCs w:val="20"/>
              </w:rPr>
            </w:pPr>
            <w:r w:rsidRPr="004D23F5">
              <w:rPr>
                <w:rFonts w:ascii="Cambria" w:hAnsi="Cambria" w:cstheme="minorHAnsi"/>
                <w:sz w:val="20"/>
                <w:szCs w:val="20"/>
              </w:rPr>
              <w:t>0.007</w:t>
            </w:r>
          </w:p>
        </w:tc>
        <w:tc>
          <w:tcPr>
            <w:tcW w:w="1395" w:type="dxa"/>
            <w:shd w:val="clear" w:color="auto" w:fill="FFFFFF" w:themeFill="background1"/>
          </w:tcPr>
          <w:p w:rsidR="00C30601" w:rsidRPr="004D23F5" w:rsidRDefault="00C30601" w:rsidP="005B6F52">
            <w:pPr>
              <w:autoSpaceDE w:val="0"/>
              <w:autoSpaceDN w:val="0"/>
              <w:adjustRightInd w:val="0"/>
              <w:ind w:left="60" w:right="60"/>
              <w:jc w:val="center"/>
              <w:rPr>
                <w:rFonts w:ascii="Cambria" w:hAnsi="Cambria" w:cstheme="minorHAnsi"/>
                <w:sz w:val="20"/>
                <w:szCs w:val="20"/>
              </w:rPr>
            </w:pPr>
            <w:r w:rsidRPr="004D23F5">
              <w:rPr>
                <w:rFonts w:ascii="Cambria" w:hAnsi="Cambria" w:cstheme="minorHAnsi"/>
                <w:sz w:val="20"/>
                <w:szCs w:val="20"/>
              </w:rPr>
              <w:t>0.007</w:t>
            </w:r>
          </w:p>
        </w:tc>
      </w:tr>
      <w:tr w:rsidR="00C30601" w:rsidRPr="004D23F5" w:rsidTr="004D23F5">
        <w:trPr>
          <w:jc w:val="center"/>
        </w:trPr>
        <w:tc>
          <w:tcPr>
            <w:tcW w:w="1537" w:type="dxa"/>
            <w:shd w:val="clear" w:color="auto" w:fill="FFFFFF" w:themeFill="background1"/>
          </w:tcPr>
          <w:p w:rsidR="00C30601" w:rsidRPr="004D23F5" w:rsidRDefault="00C30601" w:rsidP="005B6F52">
            <w:pPr>
              <w:autoSpaceDE w:val="0"/>
              <w:autoSpaceDN w:val="0"/>
              <w:adjustRightInd w:val="0"/>
              <w:ind w:left="60" w:right="60"/>
              <w:rPr>
                <w:rFonts w:ascii="Cambria" w:hAnsi="Cambria" w:cstheme="minorHAnsi"/>
                <w:sz w:val="20"/>
                <w:szCs w:val="20"/>
              </w:rPr>
            </w:pPr>
            <w:r w:rsidRPr="004D23F5">
              <w:rPr>
                <w:rFonts w:ascii="Cambria" w:hAnsi="Cambria" w:cstheme="minorHAnsi"/>
                <w:sz w:val="20"/>
                <w:szCs w:val="20"/>
              </w:rPr>
              <w:t>McFadden</w:t>
            </w:r>
          </w:p>
        </w:tc>
        <w:tc>
          <w:tcPr>
            <w:tcW w:w="1395" w:type="dxa"/>
            <w:shd w:val="clear" w:color="auto" w:fill="FFFFFF" w:themeFill="background1"/>
          </w:tcPr>
          <w:p w:rsidR="00C30601" w:rsidRPr="004D23F5" w:rsidRDefault="00C30601" w:rsidP="005B6F52">
            <w:pPr>
              <w:autoSpaceDE w:val="0"/>
              <w:autoSpaceDN w:val="0"/>
              <w:adjustRightInd w:val="0"/>
              <w:ind w:left="60" w:right="60"/>
              <w:jc w:val="center"/>
              <w:rPr>
                <w:rFonts w:ascii="Cambria" w:hAnsi="Cambria" w:cstheme="minorHAnsi"/>
                <w:sz w:val="20"/>
                <w:szCs w:val="20"/>
              </w:rPr>
            </w:pPr>
            <w:r w:rsidRPr="004D23F5">
              <w:rPr>
                <w:rFonts w:ascii="Cambria" w:hAnsi="Cambria" w:cstheme="minorHAnsi"/>
                <w:sz w:val="20"/>
                <w:szCs w:val="20"/>
              </w:rPr>
              <w:t>0.004</w:t>
            </w:r>
          </w:p>
        </w:tc>
        <w:tc>
          <w:tcPr>
            <w:tcW w:w="1395" w:type="dxa"/>
            <w:shd w:val="clear" w:color="auto" w:fill="FFFFFF" w:themeFill="background1"/>
          </w:tcPr>
          <w:p w:rsidR="00C30601" w:rsidRPr="004D23F5" w:rsidRDefault="00C30601" w:rsidP="005B6F52">
            <w:pPr>
              <w:autoSpaceDE w:val="0"/>
              <w:autoSpaceDN w:val="0"/>
              <w:adjustRightInd w:val="0"/>
              <w:ind w:left="60" w:right="60"/>
              <w:jc w:val="center"/>
              <w:rPr>
                <w:rFonts w:ascii="Cambria" w:hAnsi="Cambria" w:cstheme="minorHAnsi"/>
                <w:sz w:val="20"/>
                <w:szCs w:val="20"/>
              </w:rPr>
            </w:pPr>
            <w:r w:rsidRPr="004D23F5">
              <w:rPr>
                <w:rFonts w:ascii="Cambria" w:hAnsi="Cambria" w:cstheme="minorHAnsi"/>
                <w:sz w:val="20"/>
                <w:szCs w:val="20"/>
              </w:rPr>
              <w:t>0.003</w:t>
            </w:r>
          </w:p>
        </w:tc>
      </w:tr>
      <w:tr w:rsidR="00C30601" w:rsidRPr="004D23F5" w:rsidTr="004D23F5">
        <w:trPr>
          <w:jc w:val="center"/>
        </w:trPr>
        <w:tc>
          <w:tcPr>
            <w:tcW w:w="4327" w:type="dxa"/>
            <w:gridSpan w:val="3"/>
            <w:shd w:val="clear" w:color="auto" w:fill="FFFFFF" w:themeFill="background1"/>
          </w:tcPr>
          <w:p w:rsidR="00C30601" w:rsidRPr="004D23F5" w:rsidRDefault="00C30601" w:rsidP="005B6F52">
            <w:pPr>
              <w:jc w:val="center"/>
              <w:rPr>
                <w:rFonts w:ascii="Cambria" w:hAnsi="Cambria" w:cstheme="minorHAnsi"/>
                <w:sz w:val="20"/>
                <w:szCs w:val="20"/>
              </w:rPr>
            </w:pPr>
            <w:r w:rsidRPr="004D23F5">
              <w:rPr>
                <w:rFonts w:ascii="Cambria" w:hAnsi="Cambria" w:cstheme="minorHAnsi"/>
                <w:b/>
                <w:i/>
                <w:sz w:val="20"/>
                <w:szCs w:val="20"/>
              </w:rPr>
              <w:t>Test of Parallel Lines</w:t>
            </w:r>
          </w:p>
        </w:tc>
      </w:tr>
      <w:tr w:rsidR="00C30601" w:rsidRPr="004D23F5" w:rsidTr="004D23F5">
        <w:trPr>
          <w:jc w:val="center"/>
        </w:trPr>
        <w:tc>
          <w:tcPr>
            <w:tcW w:w="1537" w:type="dxa"/>
            <w:shd w:val="clear" w:color="auto" w:fill="FFFFFF" w:themeFill="background1"/>
          </w:tcPr>
          <w:p w:rsidR="00C30601" w:rsidRPr="004D23F5" w:rsidRDefault="00C30601" w:rsidP="005B6F52">
            <w:pPr>
              <w:rPr>
                <w:rFonts w:ascii="Cambria" w:hAnsi="Cambria" w:cstheme="minorHAnsi"/>
                <w:i/>
                <w:sz w:val="20"/>
                <w:szCs w:val="20"/>
              </w:rPr>
            </w:pPr>
            <w:r w:rsidRPr="004D23F5">
              <w:rPr>
                <w:rFonts w:ascii="Cambria" w:hAnsi="Cambria" w:cstheme="minorHAnsi"/>
                <w:sz w:val="20"/>
                <w:szCs w:val="20"/>
              </w:rPr>
              <w:t>-2 Log Likelihoods</w:t>
            </w:r>
          </w:p>
        </w:tc>
        <w:tc>
          <w:tcPr>
            <w:tcW w:w="1395" w:type="dxa"/>
            <w:shd w:val="clear" w:color="auto" w:fill="FFFFFF" w:themeFill="background1"/>
          </w:tcPr>
          <w:p w:rsidR="00C30601" w:rsidRPr="004D23F5" w:rsidRDefault="00C30601" w:rsidP="005B6F52">
            <w:pPr>
              <w:jc w:val="center"/>
              <w:rPr>
                <w:rFonts w:ascii="Cambria" w:hAnsi="Cambria" w:cstheme="minorHAnsi"/>
                <w:sz w:val="20"/>
                <w:szCs w:val="20"/>
              </w:rPr>
            </w:pPr>
          </w:p>
        </w:tc>
        <w:tc>
          <w:tcPr>
            <w:tcW w:w="1395" w:type="dxa"/>
            <w:shd w:val="clear" w:color="auto" w:fill="FFFFFF" w:themeFill="background1"/>
          </w:tcPr>
          <w:p w:rsidR="00C30601" w:rsidRPr="004D23F5" w:rsidRDefault="00C30601" w:rsidP="005B6F52">
            <w:pPr>
              <w:jc w:val="center"/>
              <w:rPr>
                <w:rFonts w:ascii="Cambria" w:hAnsi="Cambria" w:cstheme="minorHAnsi"/>
                <w:sz w:val="20"/>
                <w:szCs w:val="20"/>
              </w:rPr>
            </w:pPr>
          </w:p>
        </w:tc>
      </w:tr>
      <w:tr w:rsidR="00C30601" w:rsidRPr="004D23F5" w:rsidTr="004D23F5">
        <w:trPr>
          <w:jc w:val="center"/>
        </w:trPr>
        <w:tc>
          <w:tcPr>
            <w:tcW w:w="1537" w:type="dxa"/>
            <w:shd w:val="clear" w:color="auto" w:fill="FFFFFF" w:themeFill="background1"/>
          </w:tcPr>
          <w:p w:rsidR="00C30601" w:rsidRPr="004D23F5" w:rsidRDefault="00C30601" w:rsidP="005B6F52">
            <w:pPr>
              <w:rPr>
                <w:rFonts w:ascii="Cambria" w:hAnsi="Cambria" w:cstheme="minorHAnsi"/>
                <w:i/>
                <w:sz w:val="20"/>
                <w:szCs w:val="20"/>
              </w:rPr>
            </w:pPr>
            <w:r w:rsidRPr="004D23F5">
              <w:rPr>
                <w:rFonts w:ascii="Cambria" w:hAnsi="Cambria" w:cstheme="minorHAnsi"/>
                <w:sz w:val="20"/>
                <w:szCs w:val="20"/>
              </w:rPr>
              <w:t>Null Hypothesis</w:t>
            </w:r>
          </w:p>
        </w:tc>
        <w:tc>
          <w:tcPr>
            <w:tcW w:w="1395" w:type="dxa"/>
            <w:shd w:val="clear" w:color="auto" w:fill="FFFFFF" w:themeFill="background1"/>
          </w:tcPr>
          <w:p w:rsidR="00C30601" w:rsidRPr="004D23F5" w:rsidRDefault="00C30601" w:rsidP="005B6F52">
            <w:pPr>
              <w:jc w:val="center"/>
              <w:rPr>
                <w:rFonts w:ascii="Cambria" w:hAnsi="Cambria" w:cstheme="minorHAnsi"/>
                <w:sz w:val="20"/>
                <w:szCs w:val="20"/>
              </w:rPr>
            </w:pPr>
            <w:r w:rsidRPr="004D23F5">
              <w:rPr>
                <w:rFonts w:ascii="Cambria" w:hAnsi="Cambria" w:cstheme="minorHAnsi"/>
                <w:sz w:val="20"/>
                <w:szCs w:val="20"/>
              </w:rPr>
              <w:t>574,737</w:t>
            </w:r>
          </w:p>
        </w:tc>
        <w:tc>
          <w:tcPr>
            <w:tcW w:w="1395" w:type="dxa"/>
            <w:shd w:val="clear" w:color="auto" w:fill="FFFFFF" w:themeFill="background1"/>
          </w:tcPr>
          <w:p w:rsidR="00C30601" w:rsidRPr="004D23F5" w:rsidRDefault="00C30601" w:rsidP="005B6F52">
            <w:pPr>
              <w:jc w:val="center"/>
              <w:rPr>
                <w:rFonts w:ascii="Cambria" w:hAnsi="Cambria" w:cstheme="minorHAnsi"/>
                <w:sz w:val="20"/>
                <w:szCs w:val="20"/>
              </w:rPr>
            </w:pPr>
            <w:r w:rsidRPr="004D23F5">
              <w:rPr>
                <w:rFonts w:ascii="Cambria" w:hAnsi="Cambria" w:cstheme="minorHAnsi"/>
                <w:sz w:val="20"/>
                <w:szCs w:val="20"/>
              </w:rPr>
              <w:t>574,774</w:t>
            </w:r>
          </w:p>
        </w:tc>
      </w:tr>
      <w:tr w:rsidR="00C30601" w:rsidRPr="004D23F5" w:rsidTr="004D23F5">
        <w:trPr>
          <w:jc w:val="center"/>
        </w:trPr>
        <w:tc>
          <w:tcPr>
            <w:tcW w:w="1537" w:type="dxa"/>
            <w:shd w:val="clear" w:color="auto" w:fill="FFFFFF" w:themeFill="background1"/>
          </w:tcPr>
          <w:p w:rsidR="00C30601" w:rsidRPr="004D23F5" w:rsidRDefault="00C30601" w:rsidP="005B6F52">
            <w:pPr>
              <w:rPr>
                <w:rFonts w:ascii="Cambria" w:hAnsi="Cambria" w:cstheme="minorHAnsi"/>
                <w:i/>
                <w:sz w:val="20"/>
                <w:szCs w:val="20"/>
              </w:rPr>
            </w:pPr>
            <w:r w:rsidRPr="004D23F5">
              <w:rPr>
                <w:rFonts w:ascii="Cambria" w:hAnsi="Cambria" w:cstheme="minorHAnsi"/>
                <w:sz w:val="20"/>
                <w:szCs w:val="20"/>
              </w:rPr>
              <w:t>general</w:t>
            </w:r>
          </w:p>
        </w:tc>
        <w:tc>
          <w:tcPr>
            <w:tcW w:w="1395" w:type="dxa"/>
            <w:shd w:val="clear" w:color="auto" w:fill="FFFFFF" w:themeFill="background1"/>
          </w:tcPr>
          <w:p w:rsidR="00C30601" w:rsidRPr="004D23F5" w:rsidRDefault="00C30601" w:rsidP="005B6F52">
            <w:pPr>
              <w:jc w:val="center"/>
              <w:rPr>
                <w:rFonts w:ascii="Cambria" w:hAnsi="Cambria" w:cstheme="minorHAnsi"/>
                <w:sz w:val="20"/>
                <w:szCs w:val="20"/>
              </w:rPr>
            </w:pPr>
            <w:r w:rsidRPr="004D23F5">
              <w:rPr>
                <w:rFonts w:ascii="Cambria" w:hAnsi="Cambria" w:cstheme="minorHAnsi"/>
                <w:sz w:val="20"/>
                <w:szCs w:val="20"/>
              </w:rPr>
              <w:t>572,180</w:t>
            </w:r>
          </w:p>
        </w:tc>
        <w:tc>
          <w:tcPr>
            <w:tcW w:w="1395" w:type="dxa"/>
            <w:shd w:val="clear" w:color="auto" w:fill="FFFFFF" w:themeFill="background1"/>
          </w:tcPr>
          <w:p w:rsidR="00C30601" w:rsidRPr="004D23F5" w:rsidRDefault="00C30601" w:rsidP="005B6F52">
            <w:pPr>
              <w:jc w:val="center"/>
              <w:rPr>
                <w:rFonts w:ascii="Cambria" w:hAnsi="Cambria" w:cstheme="minorHAnsi"/>
                <w:sz w:val="20"/>
                <w:szCs w:val="20"/>
              </w:rPr>
            </w:pPr>
            <w:r w:rsidRPr="004D23F5">
              <w:rPr>
                <w:rFonts w:ascii="Cambria" w:hAnsi="Cambria" w:cstheme="minorHAnsi"/>
                <w:sz w:val="20"/>
                <w:szCs w:val="20"/>
              </w:rPr>
              <w:t>573,259</w:t>
            </w:r>
          </w:p>
        </w:tc>
      </w:tr>
      <w:tr w:rsidR="00C30601" w:rsidRPr="004D23F5" w:rsidTr="004D23F5">
        <w:trPr>
          <w:jc w:val="center"/>
        </w:trPr>
        <w:tc>
          <w:tcPr>
            <w:tcW w:w="1537" w:type="dxa"/>
            <w:shd w:val="clear" w:color="auto" w:fill="FFFFFF" w:themeFill="background1"/>
          </w:tcPr>
          <w:p w:rsidR="00C30601" w:rsidRPr="004D23F5" w:rsidRDefault="00C30601" w:rsidP="005B6F52">
            <w:pPr>
              <w:rPr>
                <w:rFonts w:ascii="Cambria" w:hAnsi="Cambria" w:cstheme="minorHAnsi"/>
                <w:i/>
                <w:sz w:val="20"/>
                <w:szCs w:val="20"/>
              </w:rPr>
            </w:pPr>
            <w:r w:rsidRPr="004D23F5">
              <w:rPr>
                <w:rFonts w:ascii="Cambria" w:hAnsi="Cambria" w:cstheme="minorHAnsi"/>
                <w:sz w:val="20"/>
                <w:szCs w:val="20"/>
              </w:rPr>
              <w:t>Chi-Square</w:t>
            </w:r>
          </w:p>
        </w:tc>
        <w:tc>
          <w:tcPr>
            <w:tcW w:w="1395" w:type="dxa"/>
            <w:shd w:val="clear" w:color="auto" w:fill="FFFFFF" w:themeFill="background1"/>
          </w:tcPr>
          <w:p w:rsidR="00C30601" w:rsidRPr="004D23F5" w:rsidRDefault="00C30601" w:rsidP="005B6F52">
            <w:pPr>
              <w:jc w:val="center"/>
              <w:rPr>
                <w:rFonts w:ascii="Cambria" w:hAnsi="Cambria" w:cstheme="minorHAnsi"/>
                <w:sz w:val="20"/>
                <w:szCs w:val="20"/>
              </w:rPr>
            </w:pPr>
            <w:r w:rsidRPr="004D23F5">
              <w:rPr>
                <w:rFonts w:ascii="Cambria" w:hAnsi="Cambria" w:cstheme="minorHAnsi"/>
                <w:sz w:val="20"/>
                <w:szCs w:val="20"/>
              </w:rPr>
              <w:t>2,556</w:t>
            </w:r>
          </w:p>
        </w:tc>
        <w:tc>
          <w:tcPr>
            <w:tcW w:w="1395" w:type="dxa"/>
            <w:shd w:val="clear" w:color="auto" w:fill="FFFFFF" w:themeFill="background1"/>
          </w:tcPr>
          <w:p w:rsidR="00C30601" w:rsidRPr="004D23F5" w:rsidRDefault="00C30601" w:rsidP="005B6F52">
            <w:pPr>
              <w:jc w:val="center"/>
              <w:rPr>
                <w:rFonts w:ascii="Cambria" w:hAnsi="Cambria" w:cstheme="minorHAnsi"/>
                <w:sz w:val="20"/>
                <w:szCs w:val="20"/>
              </w:rPr>
            </w:pPr>
            <w:r w:rsidRPr="004D23F5">
              <w:rPr>
                <w:rFonts w:ascii="Cambria" w:hAnsi="Cambria" w:cstheme="minorHAnsi"/>
                <w:sz w:val="20"/>
                <w:szCs w:val="20"/>
              </w:rPr>
              <w:t>1.515</w:t>
            </w:r>
          </w:p>
        </w:tc>
      </w:tr>
      <w:tr w:rsidR="00C30601" w:rsidRPr="004D23F5" w:rsidTr="004D23F5">
        <w:trPr>
          <w:jc w:val="center"/>
        </w:trPr>
        <w:tc>
          <w:tcPr>
            <w:tcW w:w="1537" w:type="dxa"/>
            <w:shd w:val="clear" w:color="auto" w:fill="FFFFFF" w:themeFill="background1"/>
          </w:tcPr>
          <w:p w:rsidR="00C30601" w:rsidRPr="004D23F5" w:rsidRDefault="00C30601" w:rsidP="005B6F52">
            <w:pPr>
              <w:rPr>
                <w:rFonts w:ascii="Cambria" w:hAnsi="Cambria" w:cstheme="minorHAnsi"/>
                <w:i/>
                <w:sz w:val="20"/>
                <w:szCs w:val="20"/>
              </w:rPr>
            </w:pPr>
            <w:r w:rsidRPr="004D23F5">
              <w:rPr>
                <w:rFonts w:ascii="Cambria" w:hAnsi="Cambria" w:cstheme="minorHAnsi"/>
                <w:sz w:val="20"/>
                <w:szCs w:val="20"/>
              </w:rPr>
              <w:t>Df</w:t>
            </w:r>
          </w:p>
        </w:tc>
        <w:tc>
          <w:tcPr>
            <w:tcW w:w="1395" w:type="dxa"/>
            <w:shd w:val="clear" w:color="auto" w:fill="FFFFFF" w:themeFill="background1"/>
          </w:tcPr>
          <w:p w:rsidR="00C30601" w:rsidRPr="004D23F5" w:rsidRDefault="00C30601" w:rsidP="005B6F52">
            <w:pPr>
              <w:jc w:val="center"/>
              <w:rPr>
                <w:rFonts w:ascii="Cambria" w:hAnsi="Cambria" w:cstheme="minorHAnsi"/>
                <w:sz w:val="20"/>
                <w:szCs w:val="20"/>
              </w:rPr>
            </w:pPr>
            <w:r w:rsidRPr="004D23F5">
              <w:rPr>
                <w:rFonts w:ascii="Cambria" w:hAnsi="Cambria" w:cstheme="minorHAnsi"/>
                <w:sz w:val="20"/>
                <w:szCs w:val="20"/>
              </w:rPr>
              <w:t>4</w:t>
            </w:r>
          </w:p>
        </w:tc>
        <w:tc>
          <w:tcPr>
            <w:tcW w:w="1395" w:type="dxa"/>
            <w:shd w:val="clear" w:color="auto" w:fill="FFFFFF" w:themeFill="background1"/>
          </w:tcPr>
          <w:p w:rsidR="00C30601" w:rsidRPr="004D23F5" w:rsidRDefault="00C30601" w:rsidP="005B6F52">
            <w:pPr>
              <w:jc w:val="center"/>
              <w:rPr>
                <w:rFonts w:ascii="Cambria" w:hAnsi="Cambria" w:cstheme="minorHAnsi"/>
                <w:sz w:val="20"/>
                <w:szCs w:val="20"/>
              </w:rPr>
            </w:pPr>
            <w:r w:rsidRPr="004D23F5">
              <w:rPr>
                <w:rFonts w:ascii="Cambria" w:hAnsi="Cambria" w:cstheme="minorHAnsi"/>
                <w:sz w:val="20"/>
                <w:szCs w:val="20"/>
              </w:rPr>
              <w:t>4</w:t>
            </w:r>
          </w:p>
        </w:tc>
      </w:tr>
      <w:tr w:rsidR="00C30601" w:rsidRPr="004D23F5" w:rsidTr="004D23F5">
        <w:trPr>
          <w:jc w:val="center"/>
        </w:trPr>
        <w:tc>
          <w:tcPr>
            <w:tcW w:w="1537" w:type="dxa"/>
            <w:shd w:val="clear" w:color="auto" w:fill="FFFFFF" w:themeFill="background1"/>
          </w:tcPr>
          <w:p w:rsidR="00C30601" w:rsidRPr="004D23F5" w:rsidRDefault="00C30601" w:rsidP="005B6F52">
            <w:pPr>
              <w:rPr>
                <w:rFonts w:ascii="Cambria" w:hAnsi="Cambria" w:cstheme="minorHAnsi"/>
                <w:i/>
                <w:sz w:val="20"/>
                <w:szCs w:val="20"/>
              </w:rPr>
            </w:pPr>
            <w:r w:rsidRPr="004D23F5">
              <w:rPr>
                <w:rFonts w:ascii="Cambria" w:hAnsi="Cambria" w:cstheme="minorHAnsi"/>
                <w:sz w:val="20"/>
                <w:szCs w:val="20"/>
              </w:rPr>
              <w:t>Sig.</w:t>
            </w:r>
          </w:p>
        </w:tc>
        <w:tc>
          <w:tcPr>
            <w:tcW w:w="1395" w:type="dxa"/>
            <w:shd w:val="clear" w:color="auto" w:fill="FFFFFF" w:themeFill="background1"/>
          </w:tcPr>
          <w:p w:rsidR="00C30601" w:rsidRPr="004D23F5" w:rsidRDefault="00C30601" w:rsidP="005B6F52">
            <w:pPr>
              <w:jc w:val="center"/>
              <w:rPr>
                <w:rFonts w:ascii="Cambria" w:hAnsi="Cambria" w:cstheme="minorHAnsi"/>
                <w:sz w:val="20"/>
                <w:szCs w:val="20"/>
              </w:rPr>
            </w:pPr>
            <w:r w:rsidRPr="004D23F5">
              <w:rPr>
                <w:rFonts w:ascii="Cambria" w:hAnsi="Cambria" w:cstheme="minorHAnsi"/>
                <w:sz w:val="20"/>
                <w:szCs w:val="20"/>
              </w:rPr>
              <w:t>0.635</w:t>
            </w:r>
          </w:p>
        </w:tc>
        <w:tc>
          <w:tcPr>
            <w:tcW w:w="1395" w:type="dxa"/>
            <w:shd w:val="clear" w:color="auto" w:fill="FFFFFF" w:themeFill="background1"/>
          </w:tcPr>
          <w:p w:rsidR="00C30601" w:rsidRPr="004D23F5" w:rsidRDefault="00C30601" w:rsidP="005B6F52">
            <w:pPr>
              <w:jc w:val="center"/>
              <w:rPr>
                <w:rFonts w:ascii="Cambria" w:hAnsi="Cambria" w:cstheme="minorHAnsi"/>
                <w:sz w:val="20"/>
                <w:szCs w:val="20"/>
              </w:rPr>
            </w:pPr>
            <w:r w:rsidRPr="004D23F5">
              <w:rPr>
                <w:rFonts w:ascii="Cambria" w:hAnsi="Cambria" w:cstheme="minorHAnsi"/>
                <w:sz w:val="20"/>
                <w:szCs w:val="20"/>
              </w:rPr>
              <w:t>0.824</w:t>
            </w:r>
          </w:p>
        </w:tc>
      </w:tr>
    </w:tbl>
    <w:p w:rsidR="003340CC" w:rsidRPr="003340CC" w:rsidRDefault="003340CC" w:rsidP="003340CC">
      <w:pPr>
        <w:tabs>
          <w:tab w:val="left" w:pos="567"/>
        </w:tabs>
        <w:spacing w:after="0" w:line="240" w:lineRule="auto"/>
        <w:jc w:val="both"/>
        <w:rPr>
          <w:rFonts w:ascii="Cambria" w:eastAsia="Cambria" w:hAnsi="Cambria" w:cs="Cambria"/>
          <w:sz w:val="20"/>
          <w:szCs w:val="20"/>
        </w:rPr>
      </w:pPr>
      <w:r w:rsidRPr="003340CC">
        <w:rPr>
          <w:rFonts w:ascii="Cambria" w:eastAsia="Cambria" w:hAnsi="Cambria" w:cs="Cambria"/>
          <w:sz w:val="20"/>
          <w:szCs w:val="20"/>
        </w:rPr>
        <w:t>Source: SPSS 25 processed data</w:t>
      </w:r>
    </w:p>
    <w:p w:rsidR="004D23F5" w:rsidRDefault="004D23F5" w:rsidP="003340CC">
      <w:pPr>
        <w:tabs>
          <w:tab w:val="left" w:pos="567"/>
        </w:tabs>
        <w:spacing w:after="0" w:line="240" w:lineRule="auto"/>
        <w:jc w:val="both"/>
        <w:rPr>
          <w:rFonts w:ascii="Cambria" w:eastAsia="Cambria" w:hAnsi="Cambria" w:cs="Cambria"/>
          <w:sz w:val="20"/>
          <w:szCs w:val="20"/>
        </w:rPr>
      </w:pPr>
    </w:p>
    <w:p w:rsidR="003340CC" w:rsidRPr="004D23F5" w:rsidRDefault="003340CC" w:rsidP="003340CC">
      <w:pPr>
        <w:tabs>
          <w:tab w:val="left" w:pos="567"/>
        </w:tabs>
        <w:spacing w:after="0" w:line="240" w:lineRule="auto"/>
        <w:jc w:val="both"/>
        <w:rPr>
          <w:rFonts w:ascii="Cambria" w:eastAsia="Cambria" w:hAnsi="Cambria" w:cs="Cambria"/>
          <w:b/>
          <w:bCs/>
          <w:sz w:val="20"/>
          <w:szCs w:val="20"/>
        </w:rPr>
      </w:pPr>
      <w:r w:rsidRPr="004D23F5">
        <w:rPr>
          <w:rFonts w:ascii="Cambria" w:eastAsia="Cambria" w:hAnsi="Cambria" w:cs="Cambria"/>
          <w:b/>
          <w:bCs/>
          <w:sz w:val="20"/>
          <w:szCs w:val="20"/>
        </w:rPr>
        <w:t>It's just that the numbers are not significant.</w:t>
      </w:r>
    </w:p>
    <w:p w:rsidR="003340CC" w:rsidRPr="003340CC" w:rsidRDefault="003340CC" w:rsidP="003340CC">
      <w:pPr>
        <w:tabs>
          <w:tab w:val="left" w:pos="567"/>
        </w:tabs>
        <w:spacing w:after="0" w:line="240" w:lineRule="auto"/>
        <w:jc w:val="both"/>
        <w:rPr>
          <w:rFonts w:ascii="Cambria" w:eastAsia="Cambria" w:hAnsi="Cambria" w:cs="Cambria"/>
          <w:sz w:val="20"/>
          <w:szCs w:val="20"/>
        </w:rPr>
      </w:pPr>
      <w:r w:rsidRPr="003340CC">
        <w:rPr>
          <w:rFonts w:ascii="Cambria" w:eastAsia="Cambria" w:hAnsi="Cambria" w:cs="Cambria"/>
          <w:sz w:val="20"/>
          <w:szCs w:val="20"/>
        </w:rPr>
        <w:t>Pseudo R-Square explains the variations in bank soundness. In the first model, SO and OC variables can explain a variation of 0.4%. While the second model uses SO and BO variables, amounting to 0.3%.</w:t>
      </w:r>
    </w:p>
    <w:p w:rsidR="003340CC" w:rsidRPr="003340CC" w:rsidRDefault="003340CC" w:rsidP="003340CC">
      <w:pPr>
        <w:tabs>
          <w:tab w:val="left" w:pos="567"/>
        </w:tabs>
        <w:spacing w:after="0" w:line="240" w:lineRule="auto"/>
        <w:jc w:val="both"/>
        <w:rPr>
          <w:rFonts w:ascii="Cambria" w:eastAsia="Cambria" w:hAnsi="Cambria" w:cs="Cambria"/>
          <w:sz w:val="20"/>
          <w:szCs w:val="20"/>
        </w:rPr>
      </w:pPr>
      <w:r w:rsidRPr="003340CC">
        <w:rPr>
          <w:rFonts w:ascii="Cambria" w:eastAsia="Cambria" w:hAnsi="Cambria" w:cs="Cambria"/>
          <w:sz w:val="20"/>
          <w:szCs w:val="20"/>
        </w:rPr>
        <w:t>The Test of Parallel Lines assesses whether the assumption is that all categories have the same parameters ( Ghozali , 2018). The results of the Test of Parallel Lines test with the OC variable have a significance level of 0.635. The results of the Test of Parallel Lines with the BO variable have a significance level of 0.824. The two Test of Parallel Lines tests have a significance above 0.005, indicating that the model is acceptable.</w:t>
      </w:r>
    </w:p>
    <w:p w:rsidR="003340CC" w:rsidRPr="003340CC" w:rsidRDefault="003340CC" w:rsidP="003340CC">
      <w:pPr>
        <w:tabs>
          <w:tab w:val="left" w:pos="567"/>
        </w:tabs>
        <w:spacing w:after="0" w:line="240" w:lineRule="auto"/>
        <w:jc w:val="both"/>
        <w:rPr>
          <w:rFonts w:ascii="Cambria" w:eastAsia="Cambria" w:hAnsi="Cambria" w:cs="Cambria"/>
          <w:sz w:val="20"/>
          <w:szCs w:val="20"/>
        </w:rPr>
      </w:pPr>
    </w:p>
    <w:p w:rsidR="003340CC" w:rsidRPr="004D23F5" w:rsidRDefault="003340CC" w:rsidP="003340CC">
      <w:pPr>
        <w:tabs>
          <w:tab w:val="left" w:pos="567"/>
        </w:tabs>
        <w:spacing w:after="0" w:line="240" w:lineRule="auto"/>
        <w:jc w:val="both"/>
        <w:rPr>
          <w:rFonts w:ascii="Cambria" w:eastAsia="Cambria" w:hAnsi="Cambria" w:cs="Cambria"/>
          <w:b/>
          <w:bCs/>
          <w:sz w:val="20"/>
          <w:szCs w:val="20"/>
        </w:rPr>
      </w:pPr>
      <w:r w:rsidRPr="004D23F5">
        <w:rPr>
          <w:rFonts w:ascii="Cambria" w:eastAsia="Cambria" w:hAnsi="Cambria" w:cs="Cambria"/>
          <w:b/>
          <w:bCs/>
          <w:sz w:val="20"/>
          <w:szCs w:val="20"/>
        </w:rPr>
        <w:t>Results of Ordinal Logistic Regression</w:t>
      </w:r>
    </w:p>
    <w:p w:rsidR="003340CC" w:rsidRPr="003340CC" w:rsidRDefault="003340CC" w:rsidP="003340CC">
      <w:pPr>
        <w:tabs>
          <w:tab w:val="left" w:pos="567"/>
        </w:tabs>
        <w:spacing w:after="0" w:line="240" w:lineRule="auto"/>
        <w:jc w:val="both"/>
        <w:rPr>
          <w:rFonts w:ascii="Cambria" w:eastAsia="Cambria" w:hAnsi="Cambria" w:cs="Cambria"/>
          <w:sz w:val="20"/>
          <w:szCs w:val="20"/>
        </w:rPr>
      </w:pPr>
      <w:r w:rsidRPr="003340CC">
        <w:rPr>
          <w:rFonts w:ascii="Cambria" w:eastAsia="Cambria" w:hAnsi="Cambria" w:cs="Cambria"/>
          <w:sz w:val="20"/>
          <w:szCs w:val="20"/>
        </w:rPr>
        <w:t>Logit (p 1)</w:t>
      </w:r>
      <w:r w:rsidR="004D23F5">
        <w:rPr>
          <w:rFonts w:ascii="Cambria" w:eastAsia="Cambria" w:hAnsi="Cambria" w:cs="Cambria"/>
          <w:sz w:val="20"/>
          <w:szCs w:val="20"/>
        </w:rPr>
        <w:t xml:space="preserve"> </w:t>
      </w:r>
      <w:r w:rsidRPr="003340CC">
        <w:rPr>
          <w:rFonts w:ascii="Cambria" w:eastAsia="Cambria" w:hAnsi="Cambria" w:cs="Cambria"/>
          <w:sz w:val="20"/>
          <w:szCs w:val="20"/>
        </w:rPr>
        <w:t>= -2.254+0.002 SO-0.002 OC+0.001 AGE+0.123 SIZE</w:t>
      </w:r>
    </w:p>
    <w:p w:rsidR="003340CC" w:rsidRPr="003340CC" w:rsidRDefault="003340CC" w:rsidP="003340CC">
      <w:pPr>
        <w:tabs>
          <w:tab w:val="left" w:pos="567"/>
        </w:tabs>
        <w:spacing w:after="0" w:line="240" w:lineRule="auto"/>
        <w:jc w:val="both"/>
        <w:rPr>
          <w:rFonts w:ascii="Cambria" w:eastAsia="Cambria" w:hAnsi="Cambria" w:cs="Cambria"/>
          <w:sz w:val="20"/>
          <w:szCs w:val="20"/>
        </w:rPr>
      </w:pPr>
      <w:r w:rsidRPr="003340CC">
        <w:rPr>
          <w:rFonts w:ascii="Cambria" w:eastAsia="Cambria" w:hAnsi="Cambria" w:cs="Cambria"/>
          <w:sz w:val="20"/>
          <w:szCs w:val="20"/>
        </w:rPr>
        <w:t>Logit (p1+p 2)</w:t>
      </w:r>
      <w:r w:rsidR="004D23F5">
        <w:rPr>
          <w:rFonts w:ascii="Cambria" w:eastAsia="Cambria" w:hAnsi="Cambria" w:cs="Cambria"/>
          <w:sz w:val="20"/>
          <w:szCs w:val="20"/>
        </w:rPr>
        <w:t xml:space="preserve"> </w:t>
      </w:r>
      <w:r w:rsidRPr="003340CC">
        <w:rPr>
          <w:rFonts w:ascii="Cambria" w:eastAsia="Cambria" w:hAnsi="Cambria" w:cs="Cambria"/>
          <w:sz w:val="20"/>
          <w:szCs w:val="20"/>
        </w:rPr>
        <w:t>= 0.992+0.002 SO-0.002 OC+0.001 AGE+0.123 SIZE</w:t>
      </w:r>
    </w:p>
    <w:p w:rsidR="003340CC" w:rsidRDefault="003340CC" w:rsidP="003340CC">
      <w:pPr>
        <w:tabs>
          <w:tab w:val="left" w:pos="567"/>
        </w:tabs>
        <w:spacing w:after="0" w:line="240" w:lineRule="auto"/>
        <w:jc w:val="both"/>
        <w:rPr>
          <w:rFonts w:ascii="Cambria" w:eastAsia="Cambria" w:hAnsi="Cambria" w:cs="Cambria"/>
          <w:sz w:val="20"/>
          <w:szCs w:val="20"/>
        </w:rPr>
      </w:pPr>
      <w:r w:rsidRPr="003340CC">
        <w:rPr>
          <w:rFonts w:ascii="Cambria" w:eastAsia="Cambria" w:hAnsi="Cambria" w:cs="Cambria"/>
          <w:sz w:val="20"/>
          <w:szCs w:val="20"/>
        </w:rPr>
        <w:t>Based on the results of the Ordinal Logistic Regression regression, hypotheses one through two were rejected because they were not significant. The significance level above alpha 0.05 has no significant effect on audit quality.</w:t>
      </w:r>
    </w:p>
    <w:p w:rsidR="004D23F5" w:rsidRPr="003340CC" w:rsidRDefault="004D23F5" w:rsidP="003340CC">
      <w:pPr>
        <w:tabs>
          <w:tab w:val="left" w:pos="567"/>
        </w:tabs>
        <w:spacing w:after="0" w:line="240" w:lineRule="auto"/>
        <w:jc w:val="both"/>
        <w:rPr>
          <w:rFonts w:ascii="Cambria" w:eastAsia="Cambria" w:hAnsi="Cambria" w:cs="Cambria"/>
          <w:sz w:val="20"/>
          <w:szCs w:val="20"/>
        </w:rPr>
      </w:pPr>
    </w:p>
    <w:p w:rsidR="003340CC" w:rsidRPr="003340CC" w:rsidRDefault="003340CC" w:rsidP="003340CC">
      <w:pPr>
        <w:tabs>
          <w:tab w:val="left" w:pos="567"/>
        </w:tabs>
        <w:spacing w:after="0" w:line="240" w:lineRule="auto"/>
        <w:jc w:val="both"/>
        <w:rPr>
          <w:rFonts w:ascii="Cambria" w:eastAsia="Cambria" w:hAnsi="Cambria" w:cs="Cambria"/>
          <w:sz w:val="20"/>
          <w:szCs w:val="20"/>
        </w:rPr>
      </w:pPr>
      <w:r w:rsidRPr="003340CC">
        <w:rPr>
          <w:rFonts w:ascii="Cambria" w:eastAsia="Cambria" w:hAnsi="Cambria" w:cs="Cambria"/>
          <w:sz w:val="20"/>
          <w:szCs w:val="20"/>
        </w:rPr>
        <w:t>Logit (p 1)</w:t>
      </w:r>
      <w:r w:rsidR="004D23F5">
        <w:rPr>
          <w:rFonts w:ascii="Cambria" w:eastAsia="Cambria" w:hAnsi="Cambria" w:cs="Cambria"/>
          <w:sz w:val="20"/>
          <w:szCs w:val="20"/>
        </w:rPr>
        <w:t xml:space="preserve"> </w:t>
      </w:r>
      <w:r w:rsidRPr="003340CC">
        <w:rPr>
          <w:rFonts w:ascii="Cambria" w:eastAsia="Cambria" w:hAnsi="Cambria" w:cs="Cambria"/>
          <w:sz w:val="20"/>
          <w:szCs w:val="20"/>
        </w:rPr>
        <w:t>= -2.202+0.002 SO-0.002 OC+0.001 AGE+0.124 SIZE</w:t>
      </w:r>
    </w:p>
    <w:p w:rsidR="003340CC" w:rsidRPr="003340CC" w:rsidRDefault="003340CC" w:rsidP="003340CC">
      <w:pPr>
        <w:tabs>
          <w:tab w:val="left" w:pos="567"/>
        </w:tabs>
        <w:spacing w:after="0" w:line="240" w:lineRule="auto"/>
        <w:jc w:val="both"/>
        <w:rPr>
          <w:rFonts w:ascii="Cambria" w:eastAsia="Cambria" w:hAnsi="Cambria" w:cs="Cambria"/>
          <w:sz w:val="20"/>
          <w:szCs w:val="20"/>
        </w:rPr>
      </w:pPr>
      <w:r w:rsidRPr="003340CC">
        <w:rPr>
          <w:rFonts w:ascii="Cambria" w:eastAsia="Cambria" w:hAnsi="Cambria" w:cs="Cambria"/>
          <w:sz w:val="20"/>
          <w:szCs w:val="20"/>
        </w:rPr>
        <w:t>Logit (p1+p 2)</w:t>
      </w:r>
      <w:r w:rsidR="004D23F5">
        <w:rPr>
          <w:rFonts w:ascii="Cambria" w:eastAsia="Cambria" w:hAnsi="Cambria" w:cs="Cambria"/>
          <w:sz w:val="20"/>
          <w:szCs w:val="20"/>
        </w:rPr>
        <w:t xml:space="preserve"> </w:t>
      </w:r>
      <w:r w:rsidRPr="003340CC">
        <w:rPr>
          <w:rFonts w:ascii="Cambria" w:eastAsia="Cambria" w:hAnsi="Cambria" w:cs="Cambria"/>
          <w:sz w:val="20"/>
          <w:szCs w:val="20"/>
        </w:rPr>
        <w:t>= 1.044+0.002 SO-0.002 BO+0.001 AGE+0.124 SIZE</w:t>
      </w:r>
    </w:p>
    <w:p w:rsidR="003340CC" w:rsidRPr="003340CC" w:rsidRDefault="003340CC" w:rsidP="003340CC">
      <w:pPr>
        <w:tabs>
          <w:tab w:val="left" w:pos="567"/>
        </w:tabs>
        <w:spacing w:after="0" w:line="240" w:lineRule="auto"/>
        <w:jc w:val="both"/>
        <w:rPr>
          <w:rFonts w:ascii="Cambria" w:eastAsia="Cambria" w:hAnsi="Cambria" w:cs="Cambria"/>
          <w:sz w:val="20"/>
          <w:szCs w:val="20"/>
        </w:rPr>
      </w:pPr>
      <w:r w:rsidRPr="003340CC">
        <w:rPr>
          <w:rFonts w:ascii="Cambria" w:eastAsia="Cambria" w:hAnsi="Cambria" w:cs="Cambria"/>
          <w:sz w:val="20"/>
          <w:szCs w:val="20"/>
        </w:rPr>
        <w:t xml:space="preserve">Based on the results of the Ordinal Logistic Regression regression, the third hypothesis was rejected because it had an insignificant effect. This is robust with the data model, which is a model that uses states of ownership and ownership concentration as independent variables. </w:t>
      </w:r>
    </w:p>
    <w:p w:rsidR="004D23F5" w:rsidRDefault="004D23F5" w:rsidP="004D23F5">
      <w:pPr>
        <w:spacing w:after="0" w:line="240" w:lineRule="auto"/>
        <w:jc w:val="center"/>
        <w:rPr>
          <w:rFonts w:ascii="Cambria" w:eastAsia="Cambria" w:hAnsi="Cambria" w:cs="Cambria"/>
          <w:sz w:val="20"/>
          <w:szCs w:val="20"/>
        </w:rPr>
      </w:pPr>
    </w:p>
    <w:p w:rsidR="00C30601" w:rsidRPr="004D23F5" w:rsidRDefault="00C30601" w:rsidP="004D23F5">
      <w:pPr>
        <w:spacing w:after="0" w:line="240" w:lineRule="auto"/>
        <w:jc w:val="center"/>
        <w:rPr>
          <w:rFonts w:ascii="Cambria" w:hAnsi="Cambria" w:cstheme="minorHAnsi"/>
          <w:b/>
          <w:sz w:val="20"/>
          <w:szCs w:val="20"/>
        </w:rPr>
      </w:pPr>
      <w:r w:rsidRPr="004D23F5">
        <w:rPr>
          <w:rFonts w:ascii="Cambria" w:hAnsi="Cambria" w:cstheme="minorHAnsi"/>
          <w:b/>
          <w:sz w:val="20"/>
          <w:szCs w:val="20"/>
        </w:rPr>
        <w:t>Table 7</w:t>
      </w:r>
      <w:r w:rsidR="004D23F5" w:rsidRPr="004D23F5">
        <w:rPr>
          <w:rFonts w:ascii="Cambria" w:hAnsi="Cambria" w:cstheme="minorHAnsi"/>
          <w:b/>
          <w:sz w:val="20"/>
          <w:szCs w:val="20"/>
        </w:rPr>
        <w:t xml:space="preserve"> </w:t>
      </w:r>
      <w:r w:rsidRPr="004D23F5">
        <w:rPr>
          <w:rFonts w:ascii="Cambria" w:hAnsi="Cambria" w:cstheme="minorHAnsi"/>
          <w:b/>
          <w:sz w:val="20"/>
          <w:szCs w:val="20"/>
        </w:rPr>
        <w:t xml:space="preserve">Summary of </w:t>
      </w:r>
      <w:r w:rsidRPr="004D23F5">
        <w:rPr>
          <w:rFonts w:ascii="Cambria" w:hAnsi="Cambria" w:cstheme="minorHAnsi"/>
          <w:b/>
          <w:i/>
          <w:sz w:val="20"/>
          <w:szCs w:val="20"/>
        </w:rPr>
        <w:t>Ordinal Logistic Regression</w:t>
      </w:r>
    </w:p>
    <w:tbl>
      <w:tblPr>
        <w:tblStyle w:val="LightList1"/>
        <w:tblW w:w="0" w:type="auto"/>
        <w:tblLayout w:type="fixed"/>
        <w:tblLook w:val="0000" w:firstRow="0" w:lastRow="0" w:firstColumn="0" w:lastColumn="0" w:noHBand="0" w:noVBand="0"/>
      </w:tblPr>
      <w:tblGrid>
        <w:gridCol w:w="1303"/>
        <w:gridCol w:w="794"/>
        <w:gridCol w:w="1180"/>
        <w:gridCol w:w="835"/>
        <w:gridCol w:w="858"/>
        <w:gridCol w:w="548"/>
        <w:gridCol w:w="709"/>
        <w:gridCol w:w="990"/>
        <w:gridCol w:w="990"/>
        <w:gridCol w:w="858"/>
      </w:tblGrid>
      <w:tr w:rsidR="00C30601" w:rsidRPr="004D23F5" w:rsidTr="004D23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7" w:type="dxa"/>
            <w:gridSpan w:val="2"/>
            <w:vMerge w:val="restart"/>
            <w:tcBorders>
              <w:top w:val="single" w:sz="2" w:space="0" w:color="auto"/>
              <w:left w:val="nil"/>
              <w:right w:val="single" w:sz="2" w:space="0" w:color="auto"/>
            </w:tcBorders>
            <w:vAlign w:val="center"/>
          </w:tcPr>
          <w:p w:rsidR="00C30601" w:rsidRPr="004D23F5" w:rsidRDefault="00C30601" w:rsidP="005B6F52">
            <w:pPr>
              <w:autoSpaceDE w:val="0"/>
              <w:autoSpaceDN w:val="0"/>
              <w:adjustRightInd w:val="0"/>
              <w:jc w:val="center"/>
              <w:rPr>
                <w:rFonts w:ascii="Cambria" w:hAnsi="Cambria" w:cstheme="minorHAnsi"/>
                <w:b/>
                <w:sz w:val="18"/>
                <w:szCs w:val="18"/>
              </w:rPr>
            </w:pPr>
          </w:p>
        </w:tc>
        <w:tc>
          <w:tcPr>
            <w:tcW w:w="1180" w:type="dxa"/>
            <w:vMerge w:val="restart"/>
            <w:tcBorders>
              <w:top w:val="single" w:sz="2" w:space="0" w:color="auto"/>
              <w:left w:val="single" w:sz="2" w:space="0" w:color="auto"/>
              <w:right w:val="single" w:sz="2" w:space="0" w:color="auto"/>
            </w:tcBorders>
            <w:vAlign w:val="center"/>
          </w:tcPr>
          <w:p w:rsidR="00C30601" w:rsidRPr="004D23F5" w:rsidRDefault="00C30601" w:rsidP="005B6F52">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18"/>
                <w:szCs w:val="18"/>
              </w:rPr>
            </w:pPr>
            <w:r w:rsidRPr="004D23F5">
              <w:rPr>
                <w:rFonts w:ascii="Cambria" w:hAnsi="Cambria" w:cstheme="minorHAnsi"/>
                <w:b/>
                <w:sz w:val="18"/>
                <w:szCs w:val="18"/>
              </w:rPr>
              <w:t>Estimates</w:t>
            </w:r>
          </w:p>
        </w:tc>
        <w:tc>
          <w:tcPr>
            <w:cnfStyle w:val="000010000000" w:firstRow="0" w:lastRow="0" w:firstColumn="0" w:lastColumn="0" w:oddVBand="1" w:evenVBand="0" w:oddHBand="0" w:evenHBand="0" w:firstRowFirstColumn="0" w:firstRowLastColumn="0" w:lastRowFirstColumn="0" w:lastRowLastColumn="0"/>
            <w:tcW w:w="835" w:type="dxa"/>
            <w:vMerge w:val="restart"/>
            <w:tcBorders>
              <w:top w:val="single" w:sz="2" w:space="0" w:color="auto"/>
              <w:left w:val="single" w:sz="2" w:space="0" w:color="auto"/>
              <w:right w:val="single" w:sz="2" w:space="0" w:color="auto"/>
            </w:tcBorders>
            <w:vAlign w:val="center"/>
          </w:tcPr>
          <w:p w:rsidR="00C30601" w:rsidRPr="004D23F5" w:rsidRDefault="00C30601" w:rsidP="005B6F52">
            <w:pPr>
              <w:autoSpaceDE w:val="0"/>
              <w:autoSpaceDN w:val="0"/>
              <w:adjustRightInd w:val="0"/>
              <w:ind w:left="60" w:right="60"/>
              <w:jc w:val="center"/>
              <w:rPr>
                <w:rFonts w:ascii="Cambria" w:hAnsi="Cambria" w:cstheme="minorHAnsi"/>
                <w:b/>
                <w:sz w:val="18"/>
                <w:szCs w:val="18"/>
              </w:rPr>
            </w:pPr>
            <w:r w:rsidRPr="004D23F5">
              <w:rPr>
                <w:rFonts w:ascii="Cambria" w:hAnsi="Cambria" w:cstheme="minorHAnsi"/>
                <w:b/>
                <w:sz w:val="18"/>
                <w:szCs w:val="18"/>
              </w:rPr>
              <w:t>std. Error</w:t>
            </w:r>
          </w:p>
        </w:tc>
        <w:tc>
          <w:tcPr>
            <w:tcW w:w="858" w:type="dxa"/>
            <w:vMerge w:val="restart"/>
            <w:tcBorders>
              <w:top w:val="single" w:sz="2" w:space="0" w:color="auto"/>
              <w:left w:val="single" w:sz="2" w:space="0" w:color="auto"/>
              <w:right w:val="single" w:sz="2" w:space="0" w:color="auto"/>
            </w:tcBorders>
            <w:vAlign w:val="center"/>
          </w:tcPr>
          <w:p w:rsidR="00C30601" w:rsidRPr="004D23F5" w:rsidRDefault="00C30601" w:rsidP="005B6F52">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18"/>
                <w:szCs w:val="18"/>
              </w:rPr>
            </w:pPr>
            <w:r w:rsidRPr="004D23F5">
              <w:rPr>
                <w:rFonts w:ascii="Cambria" w:hAnsi="Cambria" w:cstheme="minorHAnsi"/>
                <w:b/>
                <w:sz w:val="18"/>
                <w:szCs w:val="18"/>
              </w:rPr>
              <w:t>Wald</w:t>
            </w:r>
          </w:p>
        </w:tc>
        <w:tc>
          <w:tcPr>
            <w:cnfStyle w:val="000010000000" w:firstRow="0" w:lastRow="0" w:firstColumn="0" w:lastColumn="0" w:oddVBand="1" w:evenVBand="0" w:oddHBand="0" w:evenHBand="0" w:firstRowFirstColumn="0" w:firstRowLastColumn="0" w:lastRowFirstColumn="0" w:lastRowLastColumn="0"/>
            <w:tcW w:w="548" w:type="dxa"/>
            <w:vMerge w:val="restart"/>
            <w:tcBorders>
              <w:top w:val="single" w:sz="2" w:space="0" w:color="auto"/>
              <w:left w:val="single" w:sz="2" w:space="0" w:color="auto"/>
              <w:right w:val="single" w:sz="2" w:space="0" w:color="auto"/>
            </w:tcBorders>
            <w:vAlign w:val="center"/>
          </w:tcPr>
          <w:p w:rsidR="00C30601" w:rsidRPr="004D23F5" w:rsidRDefault="00C30601" w:rsidP="005B6F52">
            <w:pPr>
              <w:autoSpaceDE w:val="0"/>
              <w:autoSpaceDN w:val="0"/>
              <w:adjustRightInd w:val="0"/>
              <w:ind w:left="60" w:right="60"/>
              <w:jc w:val="center"/>
              <w:rPr>
                <w:rFonts w:ascii="Cambria" w:hAnsi="Cambria" w:cstheme="minorHAnsi"/>
                <w:b/>
                <w:sz w:val="18"/>
                <w:szCs w:val="18"/>
              </w:rPr>
            </w:pPr>
            <w:r w:rsidRPr="004D23F5">
              <w:rPr>
                <w:rFonts w:ascii="Cambria" w:hAnsi="Cambria" w:cstheme="minorHAnsi"/>
                <w:b/>
                <w:sz w:val="18"/>
                <w:szCs w:val="18"/>
              </w:rPr>
              <w:t>df</w:t>
            </w:r>
          </w:p>
        </w:tc>
        <w:tc>
          <w:tcPr>
            <w:tcW w:w="709" w:type="dxa"/>
            <w:vMerge w:val="restart"/>
            <w:tcBorders>
              <w:top w:val="single" w:sz="2" w:space="0" w:color="auto"/>
              <w:left w:val="single" w:sz="2" w:space="0" w:color="auto"/>
              <w:right w:val="single" w:sz="2" w:space="0" w:color="auto"/>
            </w:tcBorders>
            <w:vAlign w:val="center"/>
          </w:tcPr>
          <w:p w:rsidR="00C30601" w:rsidRPr="004D23F5" w:rsidRDefault="00C30601" w:rsidP="005B6F52">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18"/>
                <w:szCs w:val="18"/>
              </w:rPr>
            </w:pPr>
            <w:r w:rsidRPr="004D23F5">
              <w:rPr>
                <w:rFonts w:ascii="Cambria" w:hAnsi="Cambria" w:cstheme="minorHAnsi"/>
                <w:b/>
                <w:sz w:val="18"/>
                <w:szCs w:val="18"/>
              </w:rPr>
              <w:t>Sig.</w:t>
            </w:r>
          </w:p>
        </w:tc>
        <w:tc>
          <w:tcPr>
            <w:cnfStyle w:val="000010000000" w:firstRow="0" w:lastRow="0" w:firstColumn="0" w:lastColumn="0" w:oddVBand="1" w:evenVBand="0" w:oddHBand="0" w:evenHBand="0" w:firstRowFirstColumn="0" w:firstRowLastColumn="0" w:lastRowFirstColumn="0" w:lastRowLastColumn="0"/>
            <w:tcW w:w="1980" w:type="dxa"/>
            <w:gridSpan w:val="2"/>
            <w:tcBorders>
              <w:top w:val="single" w:sz="2" w:space="0" w:color="auto"/>
              <w:left w:val="single" w:sz="2" w:space="0" w:color="auto"/>
              <w:bottom w:val="single" w:sz="2" w:space="0" w:color="auto"/>
              <w:right w:val="single" w:sz="2" w:space="0" w:color="auto"/>
            </w:tcBorders>
            <w:vAlign w:val="center"/>
          </w:tcPr>
          <w:p w:rsidR="00C30601" w:rsidRPr="004D23F5" w:rsidRDefault="00C30601" w:rsidP="005B6F52">
            <w:pPr>
              <w:autoSpaceDE w:val="0"/>
              <w:autoSpaceDN w:val="0"/>
              <w:adjustRightInd w:val="0"/>
              <w:ind w:left="60" w:right="60"/>
              <w:jc w:val="center"/>
              <w:rPr>
                <w:rFonts w:ascii="Cambria" w:hAnsi="Cambria" w:cstheme="minorHAnsi"/>
                <w:b/>
                <w:sz w:val="18"/>
                <w:szCs w:val="18"/>
              </w:rPr>
            </w:pPr>
            <w:r w:rsidRPr="004D23F5">
              <w:rPr>
                <w:rFonts w:ascii="Cambria" w:hAnsi="Cambria" w:cstheme="minorHAnsi"/>
                <w:b/>
                <w:sz w:val="18"/>
                <w:szCs w:val="18"/>
              </w:rPr>
              <w:t>95% Confidence Intervals</w:t>
            </w:r>
          </w:p>
        </w:tc>
        <w:tc>
          <w:tcPr>
            <w:tcW w:w="858" w:type="dxa"/>
            <w:vMerge w:val="restart"/>
            <w:tcBorders>
              <w:top w:val="single" w:sz="2" w:space="0" w:color="auto"/>
              <w:left w:val="single" w:sz="2" w:space="0" w:color="auto"/>
              <w:right w:val="nil"/>
            </w:tcBorders>
            <w:vAlign w:val="center"/>
          </w:tcPr>
          <w:p w:rsidR="00C30601" w:rsidRPr="004D23F5" w:rsidRDefault="00C30601" w:rsidP="005B6F52">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sz w:val="18"/>
                <w:szCs w:val="18"/>
              </w:rPr>
            </w:pPr>
            <w:r w:rsidRPr="004D23F5">
              <w:rPr>
                <w:rFonts w:ascii="Cambria" w:hAnsi="Cambria" w:cstheme="minorHAnsi"/>
                <w:b/>
                <w:sz w:val="18"/>
                <w:szCs w:val="18"/>
              </w:rPr>
              <w:t>Results</w:t>
            </w:r>
          </w:p>
        </w:tc>
      </w:tr>
      <w:tr w:rsidR="00C30601" w:rsidRPr="004D23F5" w:rsidTr="004D23F5">
        <w:tc>
          <w:tcPr>
            <w:cnfStyle w:val="000010000000" w:firstRow="0" w:lastRow="0" w:firstColumn="0" w:lastColumn="0" w:oddVBand="1" w:evenVBand="0" w:oddHBand="0" w:evenHBand="0" w:firstRowFirstColumn="0" w:firstRowLastColumn="0" w:lastRowFirstColumn="0" w:lastRowLastColumn="0"/>
            <w:tcW w:w="2097" w:type="dxa"/>
            <w:gridSpan w:val="2"/>
            <w:vMerge/>
            <w:tcBorders>
              <w:left w:val="nil"/>
              <w:bottom w:val="single" w:sz="2" w:space="0" w:color="auto"/>
              <w:right w:val="single" w:sz="2" w:space="0" w:color="auto"/>
            </w:tcBorders>
            <w:vAlign w:val="center"/>
          </w:tcPr>
          <w:p w:rsidR="00C30601" w:rsidRPr="004D23F5" w:rsidRDefault="00C30601" w:rsidP="005B6F52">
            <w:pPr>
              <w:autoSpaceDE w:val="0"/>
              <w:autoSpaceDN w:val="0"/>
              <w:adjustRightInd w:val="0"/>
              <w:jc w:val="center"/>
              <w:rPr>
                <w:rFonts w:ascii="Cambria" w:hAnsi="Cambria" w:cstheme="minorHAnsi"/>
                <w:b/>
                <w:sz w:val="18"/>
                <w:szCs w:val="18"/>
              </w:rPr>
            </w:pPr>
          </w:p>
        </w:tc>
        <w:tc>
          <w:tcPr>
            <w:tcW w:w="1180" w:type="dxa"/>
            <w:vMerge/>
            <w:tcBorders>
              <w:left w:val="single" w:sz="2" w:space="0" w:color="auto"/>
              <w:bottom w:val="single" w:sz="2" w:space="0" w:color="auto"/>
              <w:right w:val="single" w:sz="2" w:space="0" w:color="auto"/>
            </w:tcBorders>
            <w:vAlign w:val="center"/>
          </w:tcPr>
          <w:p w:rsidR="00C30601" w:rsidRPr="004D23F5" w:rsidRDefault="00C30601" w:rsidP="005B6F5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18"/>
                <w:szCs w:val="18"/>
              </w:rPr>
            </w:pPr>
          </w:p>
        </w:tc>
        <w:tc>
          <w:tcPr>
            <w:cnfStyle w:val="000010000000" w:firstRow="0" w:lastRow="0" w:firstColumn="0" w:lastColumn="0" w:oddVBand="1" w:evenVBand="0" w:oddHBand="0" w:evenHBand="0" w:firstRowFirstColumn="0" w:firstRowLastColumn="0" w:lastRowFirstColumn="0" w:lastRowLastColumn="0"/>
            <w:tcW w:w="835" w:type="dxa"/>
            <w:vMerge/>
            <w:tcBorders>
              <w:left w:val="single" w:sz="2" w:space="0" w:color="auto"/>
              <w:bottom w:val="single" w:sz="2" w:space="0" w:color="auto"/>
              <w:right w:val="single" w:sz="2" w:space="0" w:color="auto"/>
            </w:tcBorders>
            <w:vAlign w:val="center"/>
          </w:tcPr>
          <w:p w:rsidR="00C30601" w:rsidRPr="004D23F5" w:rsidRDefault="00C30601" w:rsidP="005B6F52">
            <w:pPr>
              <w:autoSpaceDE w:val="0"/>
              <w:autoSpaceDN w:val="0"/>
              <w:adjustRightInd w:val="0"/>
              <w:jc w:val="center"/>
              <w:rPr>
                <w:rFonts w:ascii="Cambria" w:hAnsi="Cambria" w:cstheme="minorHAnsi"/>
                <w:b/>
                <w:sz w:val="18"/>
                <w:szCs w:val="18"/>
              </w:rPr>
            </w:pPr>
          </w:p>
        </w:tc>
        <w:tc>
          <w:tcPr>
            <w:tcW w:w="858" w:type="dxa"/>
            <w:vMerge/>
            <w:tcBorders>
              <w:left w:val="single" w:sz="2" w:space="0" w:color="auto"/>
              <w:bottom w:val="single" w:sz="2" w:space="0" w:color="auto"/>
              <w:right w:val="single" w:sz="2" w:space="0" w:color="auto"/>
            </w:tcBorders>
            <w:vAlign w:val="center"/>
          </w:tcPr>
          <w:p w:rsidR="00C30601" w:rsidRPr="004D23F5" w:rsidRDefault="00C30601" w:rsidP="005B6F5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18"/>
                <w:szCs w:val="18"/>
              </w:rPr>
            </w:pPr>
          </w:p>
        </w:tc>
        <w:tc>
          <w:tcPr>
            <w:cnfStyle w:val="000010000000" w:firstRow="0" w:lastRow="0" w:firstColumn="0" w:lastColumn="0" w:oddVBand="1" w:evenVBand="0" w:oddHBand="0" w:evenHBand="0" w:firstRowFirstColumn="0" w:firstRowLastColumn="0" w:lastRowFirstColumn="0" w:lastRowLastColumn="0"/>
            <w:tcW w:w="548" w:type="dxa"/>
            <w:vMerge/>
            <w:tcBorders>
              <w:left w:val="single" w:sz="2" w:space="0" w:color="auto"/>
              <w:bottom w:val="single" w:sz="2" w:space="0" w:color="auto"/>
              <w:right w:val="single" w:sz="2" w:space="0" w:color="auto"/>
            </w:tcBorders>
            <w:vAlign w:val="center"/>
          </w:tcPr>
          <w:p w:rsidR="00C30601" w:rsidRPr="004D23F5" w:rsidRDefault="00C30601" w:rsidP="005B6F52">
            <w:pPr>
              <w:autoSpaceDE w:val="0"/>
              <w:autoSpaceDN w:val="0"/>
              <w:adjustRightInd w:val="0"/>
              <w:jc w:val="center"/>
              <w:rPr>
                <w:rFonts w:ascii="Cambria" w:hAnsi="Cambria" w:cstheme="minorHAnsi"/>
                <w:b/>
                <w:sz w:val="18"/>
                <w:szCs w:val="18"/>
              </w:rPr>
            </w:pPr>
          </w:p>
        </w:tc>
        <w:tc>
          <w:tcPr>
            <w:tcW w:w="709" w:type="dxa"/>
            <w:vMerge/>
            <w:tcBorders>
              <w:left w:val="single" w:sz="2" w:space="0" w:color="auto"/>
              <w:bottom w:val="single" w:sz="2" w:space="0" w:color="auto"/>
              <w:right w:val="single" w:sz="2" w:space="0" w:color="auto"/>
            </w:tcBorders>
            <w:vAlign w:val="center"/>
          </w:tcPr>
          <w:p w:rsidR="00C30601" w:rsidRPr="004D23F5" w:rsidRDefault="00C30601" w:rsidP="005B6F5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18"/>
                <w:szCs w:val="18"/>
              </w:rPr>
            </w:pPr>
          </w:p>
        </w:tc>
        <w:tc>
          <w:tcPr>
            <w:cnfStyle w:val="000010000000" w:firstRow="0" w:lastRow="0" w:firstColumn="0" w:lastColumn="0" w:oddVBand="1" w:evenVBand="0" w:oddHBand="0" w:evenHBand="0" w:firstRowFirstColumn="0" w:firstRowLastColumn="0" w:lastRowFirstColumn="0" w:lastRowLastColumn="0"/>
            <w:tcW w:w="990" w:type="dxa"/>
            <w:tcBorders>
              <w:top w:val="single" w:sz="2" w:space="0" w:color="auto"/>
              <w:left w:val="single" w:sz="2" w:space="0" w:color="auto"/>
              <w:bottom w:val="single" w:sz="2" w:space="0" w:color="auto"/>
              <w:right w:val="single" w:sz="2" w:space="0" w:color="auto"/>
            </w:tcBorders>
            <w:vAlign w:val="center"/>
          </w:tcPr>
          <w:p w:rsidR="00C30601" w:rsidRPr="004D23F5" w:rsidRDefault="00C30601" w:rsidP="005B6F52">
            <w:pPr>
              <w:autoSpaceDE w:val="0"/>
              <w:autoSpaceDN w:val="0"/>
              <w:adjustRightInd w:val="0"/>
              <w:ind w:left="60" w:right="60"/>
              <w:jc w:val="center"/>
              <w:rPr>
                <w:rFonts w:ascii="Cambria" w:hAnsi="Cambria" w:cstheme="minorHAnsi"/>
                <w:b/>
                <w:sz w:val="18"/>
                <w:szCs w:val="18"/>
              </w:rPr>
            </w:pPr>
            <w:r w:rsidRPr="004D23F5">
              <w:rPr>
                <w:rFonts w:ascii="Cambria" w:hAnsi="Cambria" w:cstheme="minorHAnsi"/>
                <w:b/>
                <w:sz w:val="18"/>
                <w:szCs w:val="18"/>
              </w:rPr>
              <w:t>LowerBound</w:t>
            </w:r>
          </w:p>
        </w:tc>
        <w:tc>
          <w:tcPr>
            <w:tcW w:w="990" w:type="dxa"/>
            <w:tcBorders>
              <w:top w:val="single" w:sz="2" w:space="0" w:color="auto"/>
              <w:left w:val="single" w:sz="2" w:space="0" w:color="auto"/>
              <w:bottom w:val="single" w:sz="2" w:space="0" w:color="auto"/>
              <w:right w:val="single" w:sz="2" w:space="0" w:color="auto"/>
            </w:tcBorders>
            <w:vAlign w:val="center"/>
          </w:tcPr>
          <w:p w:rsidR="00C30601" w:rsidRPr="004D23F5" w:rsidRDefault="00C30601" w:rsidP="005B6F52">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b/>
                <w:sz w:val="18"/>
                <w:szCs w:val="18"/>
              </w:rPr>
            </w:pPr>
            <w:r w:rsidRPr="004D23F5">
              <w:rPr>
                <w:rFonts w:ascii="Cambria" w:hAnsi="Cambria" w:cstheme="minorHAnsi"/>
                <w:b/>
                <w:sz w:val="18"/>
                <w:szCs w:val="18"/>
              </w:rPr>
              <w:t>Upperbound</w:t>
            </w:r>
          </w:p>
        </w:tc>
        <w:tc>
          <w:tcPr>
            <w:cnfStyle w:val="000010000000" w:firstRow="0" w:lastRow="0" w:firstColumn="0" w:lastColumn="0" w:oddVBand="1" w:evenVBand="0" w:oddHBand="0" w:evenHBand="0" w:firstRowFirstColumn="0" w:firstRowLastColumn="0" w:lastRowFirstColumn="0" w:lastRowLastColumn="0"/>
            <w:tcW w:w="858" w:type="dxa"/>
            <w:vMerge/>
            <w:tcBorders>
              <w:left w:val="single" w:sz="2" w:space="0" w:color="auto"/>
              <w:bottom w:val="single" w:sz="2" w:space="0" w:color="auto"/>
              <w:right w:val="nil"/>
            </w:tcBorders>
            <w:vAlign w:val="center"/>
          </w:tcPr>
          <w:p w:rsidR="00C30601" w:rsidRPr="004D23F5" w:rsidRDefault="00C30601" w:rsidP="005B6F52">
            <w:pPr>
              <w:autoSpaceDE w:val="0"/>
              <w:autoSpaceDN w:val="0"/>
              <w:adjustRightInd w:val="0"/>
              <w:ind w:left="60" w:right="60"/>
              <w:jc w:val="center"/>
              <w:rPr>
                <w:rFonts w:ascii="Cambria" w:hAnsi="Cambria" w:cstheme="minorHAnsi"/>
                <w:b/>
                <w:sz w:val="18"/>
                <w:szCs w:val="18"/>
              </w:rPr>
            </w:pPr>
          </w:p>
        </w:tc>
      </w:tr>
      <w:tr w:rsidR="00C30601" w:rsidRPr="004D23F5" w:rsidTr="004D23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03" w:type="dxa"/>
            <w:vMerge w:val="restart"/>
            <w:tcBorders>
              <w:top w:val="single" w:sz="2" w:space="0" w:color="auto"/>
              <w:left w:val="nil"/>
              <w:right w:val="single" w:sz="2" w:space="0" w:color="auto"/>
            </w:tcBorders>
          </w:tcPr>
          <w:p w:rsidR="00C30601" w:rsidRPr="004D23F5" w:rsidRDefault="00C30601" w:rsidP="005B6F52">
            <w:pPr>
              <w:autoSpaceDE w:val="0"/>
              <w:autoSpaceDN w:val="0"/>
              <w:adjustRightInd w:val="0"/>
              <w:ind w:left="60" w:right="60"/>
              <w:rPr>
                <w:rFonts w:ascii="Cambria" w:hAnsi="Cambria" w:cstheme="minorHAnsi"/>
                <w:sz w:val="18"/>
                <w:szCs w:val="18"/>
              </w:rPr>
            </w:pPr>
            <w:r w:rsidRPr="004D23F5">
              <w:rPr>
                <w:rFonts w:ascii="Cambria" w:hAnsi="Cambria" w:cstheme="minorHAnsi"/>
                <w:sz w:val="18"/>
                <w:szCs w:val="18"/>
              </w:rPr>
              <w:t>threshold</w:t>
            </w:r>
          </w:p>
        </w:tc>
        <w:tc>
          <w:tcPr>
            <w:tcW w:w="794"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rPr>
            </w:pPr>
            <w:r w:rsidRPr="004D23F5">
              <w:rPr>
                <w:rFonts w:ascii="Cambria" w:hAnsi="Cambria" w:cstheme="minorHAnsi"/>
                <w:sz w:val="18"/>
                <w:szCs w:val="18"/>
              </w:rPr>
              <w:t>[AQ = 0]</w:t>
            </w:r>
          </w:p>
        </w:tc>
        <w:tc>
          <w:tcPr>
            <w:cnfStyle w:val="000010000000" w:firstRow="0" w:lastRow="0" w:firstColumn="0" w:lastColumn="0" w:oddVBand="1" w:evenVBand="0" w:oddHBand="0" w:evenHBand="0" w:firstRowFirstColumn="0" w:firstRowLastColumn="0" w:lastRowFirstColumn="0" w:lastRowLastColumn="0"/>
            <w:tcW w:w="1180"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rPr>
                <w:rFonts w:ascii="Cambria" w:hAnsi="Cambria" w:cstheme="minorHAnsi"/>
                <w:sz w:val="18"/>
                <w:szCs w:val="18"/>
              </w:rPr>
            </w:pPr>
            <w:r w:rsidRPr="004D23F5">
              <w:rPr>
                <w:rFonts w:ascii="Cambria" w:hAnsi="Cambria" w:cstheme="minorHAnsi"/>
                <w:sz w:val="18"/>
                <w:szCs w:val="18"/>
              </w:rPr>
              <w:t>-2,254</w:t>
            </w:r>
          </w:p>
        </w:tc>
        <w:tc>
          <w:tcPr>
            <w:tcW w:w="835"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rPr>
            </w:pPr>
            <w:r w:rsidRPr="004D23F5">
              <w:rPr>
                <w:rFonts w:ascii="Cambria" w:hAnsi="Cambria" w:cstheme="minorHAnsi"/>
                <w:sz w:val="18"/>
                <w:szCs w:val="18"/>
              </w:rPr>
              <w:t>2.013</w:t>
            </w:r>
          </w:p>
        </w:tc>
        <w:tc>
          <w:tcPr>
            <w:cnfStyle w:val="000010000000" w:firstRow="0" w:lastRow="0" w:firstColumn="0" w:lastColumn="0" w:oddVBand="1" w:evenVBand="0" w:oddHBand="0" w:evenHBand="0" w:firstRowFirstColumn="0" w:firstRowLastColumn="0" w:lastRowFirstColumn="0" w:lastRowLastColumn="0"/>
            <w:tcW w:w="858"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rPr>
                <w:rFonts w:ascii="Cambria" w:hAnsi="Cambria" w:cstheme="minorHAnsi"/>
                <w:sz w:val="18"/>
                <w:szCs w:val="18"/>
              </w:rPr>
            </w:pPr>
            <w:r w:rsidRPr="004D23F5">
              <w:rPr>
                <w:rFonts w:ascii="Cambria" w:hAnsi="Cambria" w:cstheme="minorHAnsi"/>
                <w:sz w:val="18"/>
                <w:szCs w:val="18"/>
              </w:rPr>
              <w:t>1,254</w:t>
            </w:r>
          </w:p>
        </w:tc>
        <w:tc>
          <w:tcPr>
            <w:tcW w:w="548"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rPr>
            </w:pPr>
            <w:r w:rsidRPr="004D23F5">
              <w:rPr>
                <w:rFonts w:ascii="Cambria" w:hAnsi="Cambria" w:cstheme="minorHAnsi"/>
                <w:sz w:val="18"/>
                <w:szCs w:val="18"/>
              </w:rPr>
              <w:t>1</w:t>
            </w:r>
          </w:p>
        </w:tc>
        <w:tc>
          <w:tcPr>
            <w:cnfStyle w:val="000010000000" w:firstRow="0" w:lastRow="0" w:firstColumn="0" w:lastColumn="0" w:oddVBand="1" w:evenVBand="0" w:oddHBand="0" w:evenHBand="0" w:firstRowFirstColumn="0" w:firstRowLastColumn="0" w:lastRowFirstColumn="0" w:lastRowLastColumn="0"/>
            <w:tcW w:w="709"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rPr>
                <w:rFonts w:ascii="Cambria" w:hAnsi="Cambria" w:cstheme="minorHAnsi"/>
                <w:sz w:val="18"/>
                <w:szCs w:val="18"/>
              </w:rPr>
            </w:pPr>
            <w:r w:rsidRPr="004D23F5">
              <w:rPr>
                <w:rFonts w:ascii="Cambria" w:hAnsi="Cambria" w:cstheme="minorHAnsi"/>
                <w:sz w:val="18"/>
                <w:szCs w:val="18"/>
              </w:rPr>
              <w:t>,263</w:t>
            </w:r>
          </w:p>
        </w:tc>
        <w:tc>
          <w:tcPr>
            <w:tcW w:w="990"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rPr>
            </w:pPr>
            <w:r w:rsidRPr="004D23F5">
              <w:rPr>
                <w:rFonts w:ascii="Cambria" w:hAnsi="Cambria" w:cstheme="minorHAnsi"/>
                <w:sz w:val="18"/>
                <w:szCs w:val="18"/>
              </w:rPr>
              <w:t>-6,200</w:t>
            </w:r>
          </w:p>
        </w:tc>
        <w:tc>
          <w:tcPr>
            <w:cnfStyle w:val="000010000000" w:firstRow="0" w:lastRow="0" w:firstColumn="0" w:lastColumn="0" w:oddVBand="1" w:evenVBand="0" w:oddHBand="0" w:evenHBand="0" w:firstRowFirstColumn="0" w:firstRowLastColumn="0" w:lastRowFirstColumn="0" w:lastRowLastColumn="0"/>
            <w:tcW w:w="990"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rPr>
                <w:rFonts w:ascii="Cambria" w:hAnsi="Cambria" w:cstheme="minorHAnsi"/>
                <w:sz w:val="18"/>
                <w:szCs w:val="18"/>
              </w:rPr>
            </w:pPr>
            <w:r w:rsidRPr="004D23F5">
              <w:rPr>
                <w:rFonts w:ascii="Cambria" w:hAnsi="Cambria" w:cstheme="minorHAnsi"/>
                <w:sz w:val="18"/>
                <w:szCs w:val="18"/>
              </w:rPr>
              <w:t>1,692</w:t>
            </w:r>
          </w:p>
        </w:tc>
        <w:tc>
          <w:tcPr>
            <w:tcW w:w="858" w:type="dxa"/>
            <w:tcBorders>
              <w:top w:val="single" w:sz="2" w:space="0" w:color="auto"/>
              <w:left w:val="single" w:sz="2" w:space="0" w:color="auto"/>
              <w:bottom w:val="single" w:sz="2" w:space="0" w:color="auto"/>
              <w:right w:val="nil"/>
            </w:tcBorders>
          </w:tcPr>
          <w:p w:rsidR="00C30601" w:rsidRPr="004D23F5" w:rsidRDefault="00C30601" w:rsidP="005B6F52">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rPr>
            </w:pPr>
          </w:p>
        </w:tc>
      </w:tr>
      <w:tr w:rsidR="00C30601" w:rsidRPr="004D23F5" w:rsidTr="004D23F5">
        <w:tc>
          <w:tcPr>
            <w:cnfStyle w:val="000010000000" w:firstRow="0" w:lastRow="0" w:firstColumn="0" w:lastColumn="0" w:oddVBand="1" w:evenVBand="0" w:oddHBand="0" w:evenHBand="0" w:firstRowFirstColumn="0" w:firstRowLastColumn="0" w:lastRowFirstColumn="0" w:lastRowLastColumn="0"/>
            <w:tcW w:w="1303" w:type="dxa"/>
            <w:vMerge/>
            <w:tcBorders>
              <w:left w:val="nil"/>
              <w:bottom w:val="single" w:sz="2" w:space="0" w:color="auto"/>
              <w:right w:val="single" w:sz="2" w:space="0" w:color="auto"/>
            </w:tcBorders>
          </w:tcPr>
          <w:p w:rsidR="00C30601" w:rsidRPr="004D23F5" w:rsidRDefault="00C30601" w:rsidP="005B6F52">
            <w:pPr>
              <w:autoSpaceDE w:val="0"/>
              <w:autoSpaceDN w:val="0"/>
              <w:adjustRightInd w:val="0"/>
              <w:jc w:val="center"/>
              <w:rPr>
                <w:rFonts w:ascii="Cambria" w:hAnsi="Cambria" w:cstheme="minorHAnsi"/>
                <w:sz w:val="18"/>
                <w:szCs w:val="18"/>
              </w:rPr>
            </w:pPr>
          </w:p>
        </w:tc>
        <w:tc>
          <w:tcPr>
            <w:tcW w:w="794"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rPr>
            </w:pPr>
            <w:r w:rsidRPr="004D23F5">
              <w:rPr>
                <w:rFonts w:ascii="Cambria" w:hAnsi="Cambria" w:cstheme="minorHAnsi"/>
                <w:sz w:val="18"/>
                <w:szCs w:val="18"/>
              </w:rPr>
              <w:t>[AQ = 1]</w:t>
            </w:r>
          </w:p>
        </w:tc>
        <w:tc>
          <w:tcPr>
            <w:cnfStyle w:val="000010000000" w:firstRow="0" w:lastRow="0" w:firstColumn="0" w:lastColumn="0" w:oddVBand="1" w:evenVBand="0" w:oddHBand="0" w:evenHBand="0" w:firstRowFirstColumn="0" w:firstRowLastColumn="0" w:lastRowFirstColumn="0" w:lastRowLastColumn="0"/>
            <w:tcW w:w="1180"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rPr>
                <w:rFonts w:ascii="Cambria" w:hAnsi="Cambria" w:cstheme="minorHAnsi"/>
                <w:sz w:val="18"/>
                <w:szCs w:val="18"/>
              </w:rPr>
            </w:pPr>
            <w:r w:rsidRPr="004D23F5">
              <w:rPr>
                <w:rFonts w:ascii="Cambria" w:hAnsi="Cambria" w:cstheme="minorHAnsi"/>
                <w:sz w:val="18"/>
                <w:szCs w:val="18"/>
              </w:rPr>
              <w:t>,992</w:t>
            </w:r>
          </w:p>
        </w:tc>
        <w:tc>
          <w:tcPr>
            <w:tcW w:w="835"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rPr>
            </w:pPr>
            <w:r w:rsidRPr="004D23F5">
              <w:rPr>
                <w:rFonts w:ascii="Cambria" w:hAnsi="Cambria" w:cstheme="minorHAnsi"/>
                <w:sz w:val="18"/>
                <w:szCs w:val="18"/>
              </w:rPr>
              <w:t>1,992</w:t>
            </w:r>
          </w:p>
        </w:tc>
        <w:tc>
          <w:tcPr>
            <w:cnfStyle w:val="000010000000" w:firstRow="0" w:lastRow="0" w:firstColumn="0" w:lastColumn="0" w:oddVBand="1" w:evenVBand="0" w:oddHBand="0" w:evenHBand="0" w:firstRowFirstColumn="0" w:firstRowLastColumn="0" w:lastRowFirstColumn="0" w:lastRowLastColumn="0"/>
            <w:tcW w:w="858"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rPr>
                <w:rFonts w:ascii="Cambria" w:hAnsi="Cambria" w:cstheme="minorHAnsi"/>
                <w:sz w:val="18"/>
                <w:szCs w:val="18"/>
              </w:rPr>
            </w:pPr>
            <w:r w:rsidRPr="004D23F5">
              <w:rPr>
                <w:rFonts w:ascii="Cambria" w:hAnsi="Cambria" w:cstheme="minorHAnsi"/>
                <w:sz w:val="18"/>
                <w:szCs w:val="18"/>
              </w:rPr>
              <w:t>,248</w:t>
            </w:r>
          </w:p>
        </w:tc>
        <w:tc>
          <w:tcPr>
            <w:tcW w:w="548"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rPr>
            </w:pPr>
            <w:r w:rsidRPr="004D23F5">
              <w:rPr>
                <w:rFonts w:ascii="Cambria" w:hAnsi="Cambria" w:cstheme="minorHAnsi"/>
                <w:sz w:val="18"/>
                <w:szCs w:val="18"/>
              </w:rPr>
              <w:t>1</w:t>
            </w:r>
          </w:p>
        </w:tc>
        <w:tc>
          <w:tcPr>
            <w:cnfStyle w:val="000010000000" w:firstRow="0" w:lastRow="0" w:firstColumn="0" w:lastColumn="0" w:oddVBand="1" w:evenVBand="0" w:oddHBand="0" w:evenHBand="0" w:firstRowFirstColumn="0" w:firstRowLastColumn="0" w:lastRowFirstColumn="0" w:lastRowLastColumn="0"/>
            <w:tcW w:w="709"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rPr>
                <w:rFonts w:ascii="Cambria" w:hAnsi="Cambria" w:cstheme="minorHAnsi"/>
                <w:sz w:val="18"/>
                <w:szCs w:val="18"/>
              </w:rPr>
            </w:pPr>
            <w:r w:rsidRPr="004D23F5">
              <w:rPr>
                <w:rFonts w:ascii="Cambria" w:hAnsi="Cambria" w:cstheme="minorHAnsi"/>
                <w:sz w:val="18"/>
                <w:szCs w:val="18"/>
              </w:rPr>
              <w:t>,619</w:t>
            </w:r>
          </w:p>
        </w:tc>
        <w:tc>
          <w:tcPr>
            <w:tcW w:w="990"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rPr>
            </w:pPr>
            <w:r w:rsidRPr="004D23F5">
              <w:rPr>
                <w:rFonts w:ascii="Cambria" w:hAnsi="Cambria" w:cstheme="minorHAnsi"/>
                <w:sz w:val="18"/>
                <w:szCs w:val="18"/>
              </w:rPr>
              <w:t>-2,912</w:t>
            </w:r>
          </w:p>
        </w:tc>
        <w:tc>
          <w:tcPr>
            <w:cnfStyle w:val="000010000000" w:firstRow="0" w:lastRow="0" w:firstColumn="0" w:lastColumn="0" w:oddVBand="1" w:evenVBand="0" w:oddHBand="0" w:evenHBand="0" w:firstRowFirstColumn="0" w:firstRowLastColumn="0" w:lastRowFirstColumn="0" w:lastRowLastColumn="0"/>
            <w:tcW w:w="990"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rPr>
                <w:rFonts w:ascii="Cambria" w:hAnsi="Cambria" w:cstheme="minorHAnsi"/>
                <w:sz w:val="18"/>
                <w:szCs w:val="18"/>
              </w:rPr>
            </w:pPr>
            <w:r w:rsidRPr="004D23F5">
              <w:rPr>
                <w:rFonts w:ascii="Cambria" w:hAnsi="Cambria" w:cstheme="minorHAnsi"/>
                <w:sz w:val="18"/>
                <w:szCs w:val="18"/>
              </w:rPr>
              <w:t>4,896</w:t>
            </w:r>
          </w:p>
        </w:tc>
        <w:tc>
          <w:tcPr>
            <w:tcW w:w="858" w:type="dxa"/>
            <w:tcBorders>
              <w:top w:val="single" w:sz="2" w:space="0" w:color="auto"/>
              <w:left w:val="single" w:sz="2" w:space="0" w:color="auto"/>
              <w:bottom w:val="single" w:sz="2" w:space="0" w:color="auto"/>
              <w:right w:val="nil"/>
            </w:tcBorders>
          </w:tcPr>
          <w:p w:rsidR="00C30601" w:rsidRPr="004D23F5" w:rsidRDefault="00C30601" w:rsidP="005B6F52">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rPr>
            </w:pPr>
          </w:p>
        </w:tc>
      </w:tr>
      <w:tr w:rsidR="00C30601" w:rsidRPr="004D23F5" w:rsidTr="004D23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03" w:type="dxa"/>
            <w:vMerge w:val="restart"/>
            <w:tcBorders>
              <w:top w:val="single" w:sz="2" w:space="0" w:color="auto"/>
              <w:left w:val="nil"/>
              <w:right w:val="single" w:sz="2" w:space="0" w:color="auto"/>
            </w:tcBorders>
          </w:tcPr>
          <w:p w:rsidR="00C30601" w:rsidRPr="004D23F5" w:rsidRDefault="00C30601" w:rsidP="005B6F52">
            <w:pPr>
              <w:autoSpaceDE w:val="0"/>
              <w:autoSpaceDN w:val="0"/>
              <w:adjustRightInd w:val="0"/>
              <w:ind w:left="60" w:right="60"/>
              <w:rPr>
                <w:rFonts w:ascii="Cambria" w:hAnsi="Cambria" w:cstheme="minorHAnsi"/>
                <w:sz w:val="18"/>
                <w:szCs w:val="18"/>
              </w:rPr>
            </w:pPr>
            <w:r w:rsidRPr="004D23F5">
              <w:rPr>
                <w:rFonts w:ascii="Cambria" w:hAnsi="Cambria" w:cstheme="minorHAnsi"/>
                <w:sz w:val="18"/>
                <w:szCs w:val="18"/>
              </w:rPr>
              <w:t>Location</w:t>
            </w:r>
          </w:p>
        </w:tc>
        <w:tc>
          <w:tcPr>
            <w:tcW w:w="794"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rPr>
            </w:pPr>
            <w:r w:rsidRPr="004D23F5">
              <w:rPr>
                <w:rFonts w:ascii="Cambria" w:hAnsi="Cambria" w:cstheme="minorHAnsi"/>
                <w:sz w:val="18"/>
                <w:szCs w:val="18"/>
              </w:rPr>
              <w:t>SO</w:t>
            </w:r>
          </w:p>
        </w:tc>
        <w:tc>
          <w:tcPr>
            <w:cnfStyle w:val="000010000000" w:firstRow="0" w:lastRow="0" w:firstColumn="0" w:lastColumn="0" w:oddVBand="1" w:evenVBand="0" w:oddHBand="0" w:evenHBand="0" w:firstRowFirstColumn="0" w:firstRowLastColumn="0" w:lastRowFirstColumn="0" w:lastRowLastColumn="0"/>
            <w:tcW w:w="1180"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rPr>
                <w:rFonts w:ascii="Cambria" w:hAnsi="Cambria" w:cstheme="minorHAnsi"/>
                <w:sz w:val="18"/>
                <w:szCs w:val="18"/>
              </w:rPr>
            </w:pPr>
            <w:r w:rsidRPr="004D23F5">
              <w:rPr>
                <w:rFonts w:ascii="Cambria" w:hAnsi="Cambria" w:cstheme="minorHAnsi"/>
                <w:sz w:val="18"/>
                <w:szCs w:val="18"/>
              </w:rPr>
              <w:t>,002</w:t>
            </w:r>
          </w:p>
        </w:tc>
        <w:tc>
          <w:tcPr>
            <w:tcW w:w="835"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rPr>
            </w:pPr>
            <w:r w:rsidRPr="004D23F5">
              <w:rPr>
                <w:rFonts w:ascii="Cambria" w:hAnsi="Cambria" w:cstheme="minorHAnsi"/>
                <w:sz w:val="18"/>
                <w:szCs w:val="18"/>
              </w:rPr>
              <w:t>,005</w:t>
            </w:r>
          </w:p>
        </w:tc>
        <w:tc>
          <w:tcPr>
            <w:cnfStyle w:val="000010000000" w:firstRow="0" w:lastRow="0" w:firstColumn="0" w:lastColumn="0" w:oddVBand="1" w:evenVBand="0" w:oddHBand="0" w:evenHBand="0" w:firstRowFirstColumn="0" w:firstRowLastColumn="0" w:lastRowFirstColumn="0" w:lastRowLastColumn="0"/>
            <w:tcW w:w="858"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rPr>
                <w:rFonts w:ascii="Cambria" w:hAnsi="Cambria" w:cstheme="minorHAnsi"/>
                <w:sz w:val="18"/>
                <w:szCs w:val="18"/>
              </w:rPr>
            </w:pPr>
            <w:r w:rsidRPr="004D23F5">
              <w:rPr>
                <w:rFonts w:ascii="Cambria" w:hAnsi="Cambria" w:cstheme="minorHAnsi"/>
                <w:sz w:val="18"/>
                <w:szCs w:val="18"/>
              </w:rPr>
              <w:t>,123</w:t>
            </w:r>
          </w:p>
        </w:tc>
        <w:tc>
          <w:tcPr>
            <w:tcW w:w="548"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rPr>
            </w:pPr>
            <w:r w:rsidRPr="004D23F5">
              <w:rPr>
                <w:rFonts w:ascii="Cambria" w:hAnsi="Cambria" w:cstheme="minorHAnsi"/>
                <w:sz w:val="18"/>
                <w:szCs w:val="18"/>
              </w:rPr>
              <w:t>1</w:t>
            </w:r>
          </w:p>
        </w:tc>
        <w:tc>
          <w:tcPr>
            <w:cnfStyle w:val="000010000000" w:firstRow="0" w:lastRow="0" w:firstColumn="0" w:lastColumn="0" w:oddVBand="1" w:evenVBand="0" w:oddHBand="0" w:evenHBand="0" w:firstRowFirstColumn="0" w:firstRowLastColumn="0" w:lastRowFirstColumn="0" w:lastRowLastColumn="0"/>
            <w:tcW w:w="709"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rPr>
                <w:rFonts w:ascii="Cambria" w:hAnsi="Cambria" w:cstheme="minorHAnsi"/>
                <w:sz w:val="18"/>
                <w:szCs w:val="18"/>
              </w:rPr>
            </w:pPr>
            <w:r w:rsidRPr="004D23F5">
              <w:rPr>
                <w:rFonts w:ascii="Cambria" w:hAnsi="Cambria" w:cstheme="minorHAnsi"/>
                <w:sz w:val="18"/>
                <w:szCs w:val="18"/>
              </w:rPr>
              <w:t>,726</w:t>
            </w:r>
          </w:p>
        </w:tc>
        <w:tc>
          <w:tcPr>
            <w:tcW w:w="990"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rPr>
            </w:pPr>
            <w:r w:rsidRPr="004D23F5">
              <w:rPr>
                <w:rFonts w:ascii="Cambria" w:hAnsi="Cambria" w:cstheme="minorHAnsi"/>
                <w:sz w:val="18"/>
                <w:szCs w:val="18"/>
              </w:rPr>
              <w:t>-.008</w:t>
            </w:r>
          </w:p>
        </w:tc>
        <w:tc>
          <w:tcPr>
            <w:cnfStyle w:val="000010000000" w:firstRow="0" w:lastRow="0" w:firstColumn="0" w:lastColumn="0" w:oddVBand="1" w:evenVBand="0" w:oddHBand="0" w:evenHBand="0" w:firstRowFirstColumn="0" w:firstRowLastColumn="0" w:lastRowFirstColumn="0" w:lastRowLastColumn="0"/>
            <w:tcW w:w="990"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rPr>
                <w:rFonts w:ascii="Cambria" w:hAnsi="Cambria" w:cstheme="minorHAnsi"/>
                <w:sz w:val="18"/>
                <w:szCs w:val="18"/>
              </w:rPr>
            </w:pPr>
            <w:r w:rsidRPr="004D23F5">
              <w:rPr>
                <w:rFonts w:ascii="Cambria" w:hAnsi="Cambria" w:cstheme="minorHAnsi"/>
                <w:sz w:val="18"/>
                <w:szCs w:val="18"/>
              </w:rPr>
              <w:t>,012</w:t>
            </w:r>
          </w:p>
        </w:tc>
        <w:tc>
          <w:tcPr>
            <w:tcW w:w="858" w:type="dxa"/>
            <w:tcBorders>
              <w:top w:val="single" w:sz="2" w:space="0" w:color="auto"/>
              <w:left w:val="single" w:sz="2" w:space="0" w:color="auto"/>
              <w:bottom w:val="single" w:sz="2" w:space="0" w:color="auto"/>
              <w:right w:val="nil"/>
            </w:tcBorders>
          </w:tcPr>
          <w:p w:rsidR="00C30601" w:rsidRPr="004D23F5" w:rsidRDefault="00C30601" w:rsidP="005B6F52">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rPr>
            </w:pPr>
            <w:r w:rsidRPr="004D23F5">
              <w:rPr>
                <w:rFonts w:ascii="Cambria" w:hAnsi="Cambria" w:cstheme="minorHAnsi"/>
                <w:sz w:val="18"/>
                <w:szCs w:val="18"/>
              </w:rPr>
              <w:t>+</w:t>
            </w:r>
          </w:p>
        </w:tc>
      </w:tr>
      <w:tr w:rsidR="00C30601" w:rsidRPr="004D23F5" w:rsidTr="004D23F5">
        <w:tc>
          <w:tcPr>
            <w:cnfStyle w:val="000010000000" w:firstRow="0" w:lastRow="0" w:firstColumn="0" w:lastColumn="0" w:oddVBand="1" w:evenVBand="0" w:oddHBand="0" w:evenHBand="0" w:firstRowFirstColumn="0" w:firstRowLastColumn="0" w:lastRowFirstColumn="0" w:lastRowLastColumn="0"/>
            <w:tcW w:w="1303" w:type="dxa"/>
            <w:vMerge/>
            <w:tcBorders>
              <w:left w:val="nil"/>
              <w:right w:val="single" w:sz="2" w:space="0" w:color="auto"/>
            </w:tcBorders>
          </w:tcPr>
          <w:p w:rsidR="00C30601" w:rsidRPr="004D23F5" w:rsidRDefault="00C30601" w:rsidP="005B6F52">
            <w:pPr>
              <w:autoSpaceDE w:val="0"/>
              <w:autoSpaceDN w:val="0"/>
              <w:adjustRightInd w:val="0"/>
              <w:jc w:val="center"/>
              <w:rPr>
                <w:rFonts w:ascii="Cambria" w:hAnsi="Cambria" w:cstheme="minorHAnsi"/>
                <w:sz w:val="18"/>
                <w:szCs w:val="18"/>
              </w:rPr>
            </w:pPr>
          </w:p>
        </w:tc>
        <w:tc>
          <w:tcPr>
            <w:tcW w:w="794"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rPr>
            </w:pPr>
            <w:r w:rsidRPr="004D23F5">
              <w:rPr>
                <w:rFonts w:ascii="Cambria" w:hAnsi="Cambria" w:cstheme="minorHAnsi"/>
                <w:sz w:val="18"/>
                <w:szCs w:val="18"/>
              </w:rPr>
              <w:t>OC</w:t>
            </w:r>
          </w:p>
        </w:tc>
        <w:tc>
          <w:tcPr>
            <w:cnfStyle w:val="000010000000" w:firstRow="0" w:lastRow="0" w:firstColumn="0" w:lastColumn="0" w:oddVBand="1" w:evenVBand="0" w:oddHBand="0" w:evenHBand="0" w:firstRowFirstColumn="0" w:firstRowLastColumn="0" w:lastRowFirstColumn="0" w:lastRowLastColumn="0"/>
            <w:tcW w:w="1180"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rPr>
                <w:rFonts w:ascii="Cambria" w:hAnsi="Cambria" w:cstheme="minorHAnsi"/>
                <w:sz w:val="18"/>
                <w:szCs w:val="18"/>
              </w:rPr>
            </w:pPr>
            <w:r w:rsidRPr="004D23F5">
              <w:rPr>
                <w:rFonts w:ascii="Cambria" w:hAnsi="Cambria" w:cstheme="minorHAnsi"/>
                <w:sz w:val="18"/>
                <w:szCs w:val="18"/>
              </w:rPr>
              <w:t>-.002</w:t>
            </w:r>
          </w:p>
        </w:tc>
        <w:tc>
          <w:tcPr>
            <w:tcW w:w="835"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rPr>
            </w:pPr>
            <w:r w:rsidRPr="004D23F5">
              <w:rPr>
                <w:rFonts w:ascii="Cambria" w:hAnsi="Cambria" w:cstheme="minorHAnsi"/>
                <w:sz w:val="18"/>
                <w:szCs w:val="18"/>
              </w:rPr>
              <w:t>,007</w:t>
            </w:r>
          </w:p>
        </w:tc>
        <w:tc>
          <w:tcPr>
            <w:cnfStyle w:val="000010000000" w:firstRow="0" w:lastRow="0" w:firstColumn="0" w:lastColumn="0" w:oddVBand="1" w:evenVBand="0" w:oddHBand="0" w:evenHBand="0" w:firstRowFirstColumn="0" w:firstRowLastColumn="0" w:lastRowFirstColumn="0" w:lastRowLastColumn="0"/>
            <w:tcW w:w="858"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rPr>
                <w:rFonts w:ascii="Cambria" w:hAnsi="Cambria" w:cstheme="minorHAnsi"/>
                <w:sz w:val="18"/>
                <w:szCs w:val="18"/>
              </w:rPr>
            </w:pPr>
            <w:r w:rsidRPr="004D23F5">
              <w:rPr>
                <w:rFonts w:ascii="Cambria" w:hAnsi="Cambria" w:cstheme="minorHAnsi"/>
                <w:sz w:val="18"/>
                <w:szCs w:val="18"/>
              </w:rPr>
              <w:t>,118</w:t>
            </w:r>
          </w:p>
        </w:tc>
        <w:tc>
          <w:tcPr>
            <w:tcW w:w="548"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rPr>
            </w:pPr>
            <w:r w:rsidRPr="004D23F5">
              <w:rPr>
                <w:rFonts w:ascii="Cambria" w:hAnsi="Cambria" w:cstheme="minorHAnsi"/>
                <w:sz w:val="18"/>
                <w:szCs w:val="18"/>
              </w:rPr>
              <w:t>1</w:t>
            </w:r>
          </w:p>
        </w:tc>
        <w:tc>
          <w:tcPr>
            <w:cnfStyle w:val="000010000000" w:firstRow="0" w:lastRow="0" w:firstColumn="0" w:lastColumn="0" w:oddVBand="1" w:evenVBand="0" w:oddHBand="0" w:evenHBand="0" w:firstRowFirstColumn="0" w:firstRowLastColumn="0" w:lastRowFirstColumn="0" w:lastRowLastColumn="0"/>
            <w:tcW w:w="709"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rPr>
                <w:rFonts w:ascii="Cambria" w:hAnsi="Cambria" w:cstheme="minorHAnsi"/>
                <w:sz w:val="18"/>
                <w:szCs w:val="18"/>
              </w:rPr>
            </w:pPr>
            <w:r w:rsidRPr="004D23F5">
              <w:rPr>
                <w:rFonts w:ascii="Cambria" w:hAnsi="Cambria" w:cstheme="minorHAnsi"/>
                <w:sz w:val="18"/>
                <w:szCs w:val="18"/>
              </w:rPr>
              <w:t>,732</w:t>
            </w:r>
          </w:p>
        </w:tc>
        <w:tc>
          <w:tcPr>
            <w:tcW w:w="990"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rPr>
            </w:pPr>
            <w:r w:rsidRPr="004D23F5">
              <w:rPr>
                <w:rFonts w:ascii="Cambria" w:hAnsi="Cambria" w:cstheme="minorHAnsi"/>
                <w:sz w:val="18"/>
                <w:szCs w:val="18"/>
              </w:rPr>
              <w:t>-,016</w:t>
            </w:r>
          </w:p>
        </w:tc>
        <w:tc>
          <w:tcPr>
            <w:cnfStyle w:val="000010000000" w:firstRow="0" w:lastRow="0" w:firstColumn="0" w:lastColumn="0" w:oddVBand="1" w:evenVBand="0" w:oddHBand="0" w:evenHBand="0" w:firstRowFirstColumn="0" w:firstRowLastColumn="0" w:lastRowFirstColumn="0" w:lastRowLastColumn="0"/>
            <w:tcW w:w="990"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rPr>
                <w:rFonts w:ascii="Cambria" w:hAnsi="Cambria" w:cstheme="minorHAnsi"/>
                <w:sz w:val="18"/>
                <w:szCs w:val="18"/>
              </w:rPr>
            </w:pPr>
            <w:r w:rsidRPr="004D23F5">
              <w:rPr>
                <w:rFonts w:ascii="Cambria" w:hAnsi="Cambria" w:cstheme="minorHAnsi"/>
                <w:sz w:val="18"/>
                <w:szCs w:val="18"/>
              </w:rPr>
              <w:t>,011</w:t>
            </w:r>
          </w:p>
        </w:tc>
        <w:tc>
          <w:tcPr>
            <w:tcW w:w="858" w:type="dxa"/>
            <w:tcBorders>
              <w:top w:val="single" w:sz="2" w:space="0" w:color="auto"/>
              <w:left w:val="single" w:sz="2" w:space="0" w:color="auto"/>
              <w:bottom w:val="single" w:sz="2" w:space="0" w:color="auto"/>
              <w:right w:val="nil"/>
            </w:tcBorders>
          </w:tcPr>
          <w:p w:rsidR="00C30601" w:rsidRPr="004D23F5" w:rsidRDefault="00C30601" w:rsidP="005B6F52">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rPr>
            </w:pPr>
            <w:r w:rsidRPr="004D23F5">
              <w:rPr>
                <w:rFonts w:ascii="Cambria" w:hAnsi="Cambria" w:cstheme="minorHAnsi"/>
                <w:sz w:val="18"/>
                <w:szCs w:val="18"/>
              </w:rPr>
              <w:t>-</w:t>
            </w:r>
          </w:p>
        </w:tc>
      </w:tr>
      <w:tr w:rsidR="00C30601" w:rsidRPr="004D23F5" w:rsidTr="004D23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03" w:type="dxa"/>
            <w:vMerge/>
            <w:tcBorders>
              <w:left w:val="nil"/>
              <w:right w:val="single" w:sz="2" w:space="0" w:color="auto"/>
            </w:tcBorders>
          </w:tcPr>
          <w:p w:rsidR="00C30601" w:rsidRPr="004D23F5" w:rsidRDefault="00C30601" w:rsidP="005B6F52">
            <w:pPr>
              <w:autoSpaceDE w:val="0"/>
              <w:autoSpaceDN w:val="0"/>
              <w:adjustRightInd w:val="0"/>
              <w:jc w:val="center"/>
              <w:rPr>
                <w:rFonts w:ascii="Cambria" w:hAnsi="Cambria" w:cstheme="minorHAnsi"/>
                <w:sz w:val="18"/>
                <w:szCs w:val="18"/>
              </w:rPr>
            </w:pPr>
          </w:p>
        </w:tc>
        <w:tc>
          <w:tcPr>
            <w:tcW w:w="794"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rPr>
            </w:pPr>
            <w:r w:rsidRPr="004D23F5">
              <w:rPr>
                <w:rFonts w:ascii="Cambria" w:hAnsi="Cambria" w:cstheme="minorHAnsi"/>
                <w:sz w:val="18"/>
                <w:szCs w:val="18"/>
              </w:rPr>
              <w:t>AGE</w:t>
            </w:r>
          </w:p>
        </w:tc>
        <w:tc>
          <w:tcPr>
            <w:cnfStyle w:val="000010000000" w:firstRow="0" w:lastRow="0" w:firstColumn="0" w:lastColumn="0" w:oddVBand="1" w:evenVBand="0" w:oddHBand="0" w:evenHBand="0" w:firstRowFirstColumn="0" w:firstRowLastColumn="0" w:lastRowFirstColumn="0" w:lastRowLastColumn="0"/>
            <w:tcW w:w="1180"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rPr>
                <w:rFonts w:ascii="Cambria" w:hAnsi="Cambria" w:cstheme="minorHAnsi"/>
                <w:sz w:val="18"/>
                <w:szCs w:val="18"/>
              </w:rPr>
            </w:pPr>
            <w:r w:rsidRPr="004D23F5">
              <w:rPr>
                <w:rFonts w:ascii="Cambria" w:hAnsi="Cambria" w:cstheme="minorHAnsi"/>
                <w:sz w:val="18"/>
                <w:szCs w:val="18"/>
              </w:rPr>
              <w:t>,001</w:t>
            </w:r>
          </w:p>
        </w:tc>
        <w:tc>
          <w:tcPr>
            <w:tcW w:w="835"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rPr>
            </w:pPr>
            <w:r w:rsidRPr="004D23F5">
              <w:rPr>
                <w:rFonts w:ascii="Cambria" w:hAnsi="Cambria" w:cstheme="minorHAnsi"/>
                <w:sz w:val="18"/>
                <w:szCs w:val="18"/>
              </w:rPr>
              <w:t>,005</w:t>
            </w:r>
          </w:p>
        </w:tc>
        <w:tc>
          <w:tcPr>
            <w:cnfStyle w:val="000010000000" w:firstRow="0" w:lastRow="0" w:firstColumn="0" w:lastColumn="0" w:oddVBand="1" w:evenVBand="0" w:oddHBand="0" w:evenHBand="0" w:firstRowFirstColumn="0" w:firstRowLastColumn="0" w:lastRowFirstColumn="0" w:lastRowLastColumn="0"/>
            <w:tcW w:w="858"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rPr>
                <w:rFonts w:ascii="Cambria" w:hAnsi="Cambria" w:cstheme="minorHAnsi"/>
                <w:sz w:val="18"/>
                <w:szCs w:val="18"/>
              </w:rPr>
            </w:pPr>
            <w:r w:rsidRPr="004D23F5">
              <w:rPr>
                <w:rFonts w:ascii="Cambria" w:hAnsi="Cambria" w:cstheme="minorHAnsi"/>
                <w:sz w:val="18"/>
                <w:szCs w:val="18"/>
              </w:rPr>
              <w:t>,017</w:t>
            </w:r>
          </w:p>
        </w:tc>
        <w:tc>
          <w:tcPr>
            <w:tcW w:w="548"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rPr>
            </w:pPr>
            <w:r w:rsidRPr="004D23F5">
              <w:rPr>
                <w:rFonts w:ascii="Cambria" w:hAnsi="Cambria" w:cstheme="minorHAnsi"/>
                <w:sz w:val="18"/>
                <w:szCs w:val="18"/>
              </w:rPr>
              <w:t>1</w:t>
            </w:r>
          </w:p>
        </w:tc>
        <w:tc>
          <w:tcPr>
            <w:cnfStyle w:val="000010000000" w:firstRow="0" w:lastRow="0" w:firstColumn="0" w:lastColumn="0" w:oddVBand="1" w:evenVBand="0" w:oddHBand="0" w:evenHBand="0" w:firstRowFirstColumn="0" w:firstRowLastColumn="0" w:lastRowFirstColumn="0" w:lastRowLastColumn="0"/>
            <w:tcW w:w="709"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rPr>
                <w:rFonts w:ascii="Cambria" w:hAnsi="Cambria" w:cstheme="minorHAnsi"/>
                <w:sz w:val="18"/>
                <w:szCs w:val="18"/>
              </w:rPr>
            </w:pPr>
            <w:r w:rsidRPr="004D23F5">
              <w:rPr>
                <w:rFonts w:ascii="Cambria" w:hAnsi="Cambria" w:cstheme="minorHAnsi"/>
                <w:sz w:val="18"/>
                <w:szCs w:val="18"/>
              </w:rPr>
              <w:t>,895</w:t>
            </w:r>
          </w:p>
        </w:tc>
        <w:tc>
          <w:tcPr>
            <w:tcW w:w="990"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rPr>
            </w:pPr>
            <w:r w:rsidRPr="004D23F5">
              <w:rPr>
                <w:rFonts w:ascii="Cambria" w:hAnsi="Cambria" w:cstheme="minorHAnsi"/>
                <w:sz w:val="18"/>
                <w:szCs w:val="18"/>
              </w:rPr>
              <w:t>-.009</w:t>
            </w:r>
          </w:p>
        </w:tc>
        <w:tc>
          <w:tcPr>
            <w:cnfStyle w:val="000010000000" w:firstRow="0" w:lastRow="0" w:firstColumn="0" w:lastColumn="0" w:oddVBand="1" w:evenVBand="0" w:oddHBand="0" w:evenHBand="0" w:firstRowFirstColumn="0" w:firstRowLastColumn="0" w:lastRowFirstColumn="0" w:lastRowLastColumn="0"/>
            <w:tcW w:w="990"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rPr>
                <w:rFonts w:ascii="Cambria" w:hAnsi="Cambria" w:cstheme="minorHAnsi"/>
                <w:sz w:val="18"/>
                <w:szCs w:val="18"/>
              </w:rPr>
            </w:pPr>
            <w:r w:rsidRPr="004D23F5">
              <w:rPr>
                <w:rFonts w:ascii="Cambria" w:hAnsi="Cambria" w:cstheme="minorHAnsi"/>
                <w:sz w:val="18"/>
                <w:szCs w:val="18"/>
              </w:rPr>
              <w:t>,010</w:t>
            </w:r>
          </w:p>
        </w:tc>
        <w:tc>
          <w:tcPr>
            <w:tcW w:w="858" w:type="dxa"/>
            <w:tcBorders>
              <w:top w:val="single" w:sz="2" w:space="0" w:color="auto"/>
              <w:left w:val="single" w:sz="2" w:space="0" w:color="auto"/>
              <w:bottom w:val="single" w:sz="2" w:space="0" w:color="auto"/>
              <w:right w:val="nil"/>
            </w:tcBorders>
          </w:tcPr>
          <w:p w:rsidR="00C30601" w:rsidRPr="004D23F5" w:rsidRDefault="00C30601" w:rsidP="005B6F52">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18"/>
                <w:szCs w:val="18"/>
              </w:rPr>
            </w:pPr>
            <w:r w:rsidRPr="004D23F5">
              <w:rPr>
                <w:rFonts w:ascii="Cambria" w:hAnsi="Cambria" w:cstheme="minorHAnsi"/>
                <w:sz w:val="18"/>
                <w:szCs w:val="18"/>
              </w:rPr>
              <w:t>+</w:t>
            </w:r>
          </w:p>
        </w:tc>
      </w:tr>
      <w:tr w:rsidR="00C30601" w:rsidRPr="004D23F5" w:rsidTr="004D23F5">
        <w:tc>
          <w:tcPr>
            <w:cnfStyle w:val="000010000000" w:firstRow="0" w:lastRow="0" w:firstColumn="0" w:lastColumn="0" w:oddVBand="1" w:evenVBand="0" w:oddHBand="0" w:evenHBand="0" w:firstRowFirstColumn="0" w:firstRowLastColumn="0" w:lastRowFirstColumn="0" w:lastRowLastColumn="0"/>
            <w:tcW w:w="1303" w:type="dxa"/>
            <w:vMerge/>
            <w:tcBorders>
              <w:left w:val="nil"/>
              <w:bottom w:val="single" w:sz="2" w:space="0" w:color="auto"/>
              <w:right w:val="single" w:sz="2" w:space="0" w:color="auto"/>
            </w:tcBorders>
          </w:tcPr>
          <w:p w:rsidR="00C30601" w:rsidRPr="004D23F5" w:rsidRDefault="00C30601" w:rsidP="005B6F52">
            <w:pPr>
              <w:autoSpaceDE w:val="0"/>
              <w:autoSpaceDN w:val="0"/>
              <w:adjustRightInd w:val="0"/>
              <w:jc w:val="center"/>
              <w:rPr>
                <w:rFonts w:ascii="Cambria" w:hAnsi="Cambria" w:cstheme="minorHAnsi"/>
                <w:sz w:val="18"/>
                <w:szCs w:val="18"/>
              </w:rPr>
            </w:pPr>
          </w:p>
        </w:tc>
        <w:tc>
          <w:tcPr>
            <w:tcW w:w="794"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rPr>
            </w:pPr>
            <w:r w:rsidRPr="004D23F5">
              <w:rPr>
                <w:rFonts w:ascii="Cambria" w:hAnsi="Cambria" w:cstheme="minorHAnsi"/>
                <w:sz w:val="18"/>
                <w:szCs w:val="18"/>
              </w:rPr>
              <w:t>SIZE</w:t>
            </w:r>
          </w:p>
        </w:tc>
        <w:tc>
          <w:tcPr>
            <w:cnfStyle w:val="000010000000" w:firstRow="0" w:lastRow="0" w:firstColumn="0" w:lastColumn="0" w:oddVBand="1" w:evenVBand="0" w:oddHBand="0" w:evenHBand="0" w:firstRowFirstColumn="0" w:firstRowLastColumn="0" w:lastRowFirstColumn="0" w:lastRowLastColumn="0"/>
            <w:tcW w:w="1180"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rPr>
                <w:rFonts w:ascii="Cambria" w:hAnsi="Cambria" w:cstheme="minorHAnsi"/>
                <w:sz w:val="18"/>
                <w:szCs w:val="18"/>
              </w:rPr>
            </w:pPr>
            <w:r w:rsidRPr="004D23F5">
              <w:rPr>
                <w:rFonts w:ascii="Cambria" w:hAnsi="Cambria" w:cstheme="minorHAnsi"/>
                <w:sz w:val="18"/>
                <w:szCs w:val="18"/>
              </w:rPr>
              <w:t>,123</w:t>
            </w:r>
          </w:p>
        </w:tc>
        <w:tc>
          <w:tcPr>
            <w:tcW w:w="835"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rPr>
            </w:pPr>
            <w:r w:rsidRPr="004D23F5">
              <w:rPr>
                <w:rFonts w:ascii="Cambria" w:hAnsi="Cambria" w:cstheme="minorHAnsi"/>
                <w:sz w:val="18"/>
                <w:szCs w:val="18"/>
              </w:rPr>
              <w:t>,140</w:t>
            </w:r>
          </w:p>
        </w:tc>
        <w:tc>
          <w:tcPr>
            <w:cnfStyle w:val="000010000000" w:firstRow="0" w:lastRow="0" w:firstColumn="0" w:lastColumn="0" w:oddVBand="1" w:evenVBand="0" w:oddHBand="0" w:evenHBand="0" w:firstRowFirstColumn="0" w:firstRowLastColumn="0" w:lastRowFirstColumn="0" w:lastRowLastColumn="0"/>
            <w:tcW w:w="858"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rPr>
                <w:rFonts w:ascii="Cambria" w:hAnsi="Cambria" w:cstheme="minorHAnsi"/>
                <w:sz w:val="18"/>
                <w:szCs w:val="18"/>
              </w:rPr>
            </w:pPr>
            <w:r w:rsidRPr="004D23F5">
              <w:rPr>
                <w:rFonts w:ascii="Cambria" w:hAnsi="Cambria" w:cstheme="minorHAnsi"/>
                <w:sz w:val="18"/>
                <w:szCs w:val="18"/>
              </w:rPr>
              <w:t>,777</w:t>
            </w:r>
          </w:p>
        </w:tc>
        <w:tc>
          <w:tcPr>
            <w:tcW w:w="548"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rPr>
            </w:pPr>
            <w:r w:rsidRPr="004D23F5">
              <w:rPr>
                <w:rFonts w:ascii="Cambria" w:hAnsi="Cambria" w:cstheme="minorHAnsi"/>
                <w:sz w:val="18"/>
                <w:szCs w:val="18"/>
              </w:rPr>
              <w:t>1</w:t>
            </w:r>
          </w:p>
        </w:tc>
        <w:tc>
          <w:tcPr>
            <w:cnfStyle w:val="000010000000" w:firstRow="0" w:lastRow="0" w:firstColumn="0" w:lastColumn="0" w:oddVBand="1" w:evenVBand="0" w:oddHBand="0" w:evenHBand="0" w:firstRowFirstColumn="0" w:firstRowLastColumn="0" w:lastRowFirstColumn="0" w:lastRowLastColumn="0"/>
            <w:tcW w:w="709"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rPr>
                <w:rFonts w:ascii="Cambria" w:hAnsi="Cambria" w:cstheme="minorHAnsi"/>
                <w:sz w:val="18"/>
                <w:szCs w:val="18"/>
              </w:rPr>
            </w:pPr>
            <w:r w:rsidRPr="004D23F5">
              <w:rPr>
                <w:rFonts w:ascii="Cambria" w:hAnsi="Cambria" w:cstheme="minorHAnsi"/>
                <w:sz w:val="18"/>
                <w:szCs w:val="18"/>
              </w:rPr>
              <w:t>,378</w:t>
            </w:r>
          </w:p>
        </w:tc>
        <w:tc>
          <w:tcPr>
            <w:tcW w:w="990"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rPr>
            </w:pPr>
            <w:r w:rsidRPr="004D23F5">
              <w:rPr>
                <w:rFonts w:ascii="Cambria" w:hAnsi="Cambria" w:cstheme="minorHAnsi"/>
                <w:sz w:val="18"/>
                <w:szCs w:val="18"/>
              </w:rPr>
              <w:t>-.150</w:t>
            </w:r>
          </w:p>
        </w:tc>
        <w:tc>
          <w:tcPr>
            <w:cnfStyle w:val="000010000000" w:firstRow="0" w:lastRow="0" w:firstColumn="0" w:lastColumn="0" w:oddVBand="1" w:evenVBand="0" w:oddHBand="0" w:evenHBand="0" w:firstRowFirstColumn="0" w:firstRowLastColumn="0" w:lastRowFirstColumn="0" w:lastRowLastColumn="0"/>
            <w:tcW w:w="990" w:type="dxa"/>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right="60"/>
              <w:jc w:val="right"/>
              <w:rPr>
                <w:rFonts w:ascii="Cambria" w:hAnsi="Cambria" w:cstheme="minorHAnsi"/>
                <w:sz w:val="18"/>
                <w:szCs w:val="18"/>
              </w:rPr>
            </w:pPr>
            <w:r w:rsidRPr="004D23F5">
              <w:rPr>
                <w:rFonts w:ascii="Cambria" w:hAnsi="Cambria" w:cstheme="minorHAnsi"/>
                <w:sz w:val="18"/>
                <w:szCs w:val="18"/>
              </w:rPr>
              <w:t>,397</w:t>
            </w:r>
          </w:p>
        </w:tc>
        <w:tc>
          <w:tcPr>
            <w:tcW w:w="858" w:type="dxa"/>
            <w:tcBorders>
              <w:top w:val="single" w:sz="2" w:space="0" w:color="auto"/>
              <w:left w:val="single" w:sz="2" w:space="0" w:color="auto"/>
              <w:bottom w:val="single" w:sz="2" w:space="0" w:color="auto"/>
              <w:right w:val="nil"/>
            </w:tcBorders>
          </w:tcPr>
          <w:p w:rsidR="00C30601" w:rsidRPr="004D23F5" w:rsidRDefault="00C30601" w:rsidP="005B6F52">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18"/>
                <w:szCs w:val="18"/>
              </w:rPr>
            </w:pPr>
            <w:r w:rsidRPr="004D23F5">
              <w:rPr>
                <w:rFonts w:ascii="Cambria" w:hAnsi="Cambria" w:cstheme="minorHAnsi"/>
                <w:sz w:val="18"/>
                <w:szCs w:val="18"/>
              </w:rPr>
              <w:t>+</w:t>
            </w:r>
          </w:p>
        </w:tc>
      </w:tr>
    </w:tbl>
    <w:p w:rsidR="00C30601" w:rsidRPr="004D1FA5" w:rsidRDefault="00C30601" w:rsidP="00C30601">
      <w:pPr>
        <w:pStyle w:val="Default"/>
        <w:rPr>
          <w:rFonts w:ascii="Book Antiqua" w:hAnsi="Book Antiqua" w:cstheme="minorHAnsi"/>
          <w:color w:val="auto"/>
          <w:sz w:val="22"/>
          <w:szCs w:val="22"/>
        </w:rPr>
      </w:pPr>
      <w:r w:rsidRPr="004D1FA5">
        <w:rPr>
          <w:rFonts w:ascii="Book Antiqua" w:hAnsi="Book Antiqua" w:cstheme="minorHAnsi"/>
          <w:color w:val="auto"/>
          <w:sz w:val="22"/>
          <w:szCs w:val="22"/>
        </w:rPr>
        <w:t>Source: SPSS 25 processed data</w:t>
      </w:r>
    </w:p>
    <w:p w:rsidR="003340CC" w:rsidRPr="003340CC" w:rsidRDefault="003340CC" w:rsidP="003340CC">
      <w:pPr>
        <w:tabs>
          <w:tab w:val="left" w:pos="567"/>
        </w:tabs>
        <w:spacing w:after="0" w:line="240" w:lineRule="auto"/>
        <w:jc w:val="both"/>
        <w:rPr>
          <w:rFonts w:ascii="Cambria" w:eastAsia="Cambria" w:hAnsi="Cambria" w:cs="Cambria"/>
          <w:sz w:val="20"/>
          <w:szCs w:val="20"/>
        </w:rPr>
      </w:pPr>
    </w:p>
    <w:p w:rsidR="00C30601" w:rsidRPr="00C30601" w:rsidRDefault="003340CC" w:rsidP="00C30601">
      <w:pPr>
        <w:tabs>
          <w:tab w:val="left" w:pos="567"/>
        </w:tabs>
        <w:spacing w:after="0" w:line="240" w:lineRule="auto"/>
        <w:jc w:val="center"/>
        <w:rPr>
          <w:rFonts w:ascii="Cambria" w:eastAsia="Cambria" w:hAnsi="Cambria" w:cs="Cambria"/>
          <w:b/>
          <w:bCs/>
          <w:sz w:val="20"/>
          <w:szCs w:val="20"/>
        </w:rPr>
      </w:pPr>
      <w:r w:rsidRPr="00C30601">
        <w:rPr>
          <w:rFonts w:ascii="Cambria" w:eastAsia="Cambria" w:hAnsi="Cambria" w:cs="Cambria"/>
          <w:b/>
          <w:bCs/>
          <w:sz w:val="20"/>
          <w:szCs w:val="20"/>
        </w:rPr>
        <w:t>Table 8</w:t>
      </w:r>
      <w:r w:rsidR="00C30601" w:rsidRPr="00C30601">
        <w:rPr>
          <w:rFonts w:ascii="Cambria" w:eastAsia="Cambria" w:hAnsi="Cambria" w:cs="Cambria"/>
          <w:b/>
          <w:bCs/>
          <w:sz w:val="20"/>
          <w:szCs w:val="20"/>
        </w:rPr>
        <w:t xml:space="preserve"> </w:t>
      </w:r>
      <w:r w:rsidRPr="00C30601">
        <w:rPr>
          <w:rFonts w:ascii="Cambria" w:eastAsia="Cambria" w:hAnsi="Cambria" w:cs="Cambria"/>
          <w:b/>
          <w:bCs/>
          <w:sz w:val="20"/>
          <w:szCs w:val="20"/>
        </w:rPr>
        <w:t>Ordinal Logistic Regression Results</w:t>
      </w:r>
    </w:p>
    <w:tbl>
      <w:tblPr>
        <w:tblStyle w:val="LightList1"/>
        <w:tblW w:w="5000" w:type="pct"/>
        <w:tblLook w:val="0000" w:firstRow="0" w:lastRow="0" w:firstColumn="0" w:lastColumn="0" w:noHBand="0" w:noVBand="0"/>
      </w:tblPr>
      <w:tblGrid>
        <w:gridCol w:w="1004"/>
        <w:gridCol w:w="692"/>
        <w:gridCol w:w="1082"/>
        <w:gridCol w:w="722"/>
        <w:gridCol w:w="742"/>
        <w:gridCol w:w="496"/>
        <w:gridCol w:w="749"/>
        <w:gridCol w:w="1288"/>
        <w:gridCol w:w="1345"/>
        <w:gridCol w:w="907"/>
      </w:tblGrid>
      <w:tr w:rsidR="004D23F5" w:rsidRPr="004D23F5" w:rsidTr="004D23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7" w:type="pct"/>
            <w:gridSpan w:val="2"/>
            <w:vMerge w:val="restart"/>
            <w:tcBorders>
              <w:top w:val="single" w:sz="2" w:space="0" w:color="auto"/>
              <w:left w:val="nil"/>
              <w:right w:val="single" w:sz="2" w:space="0" w:color="auto"/>
            </w:tcBorders>
            <w:vAlign w:val="center"/>
          </w:tcPr>
          <w:p w:rsidR="00C30601" w:rsidRPr="004D23F5" w:rsidRDefault="00C30601" w:rsidP="005B6F52">
            <w:pPr>
              <w:autoSpaceDE w:val="0"/>
              <w:autoSpaceDN w:val="0"/>
              <w:adjustRightInd w:val="0"/>
              <w:jc w:val="center"/>
              <w:rPr>
                <w:rFonts w:ascii="Book Antiqua" w:hAnsi="Book Antiqua" w:cstheme="minorHAnsi"/>
                <w:b/>
                <w:sz w:val="16"/>
                <w:szCs w:val="16"/>
              </w:rPr>
            </w:pPr>
          </w:p>
        </w:tc>
        <w:tc>
          <w:tcPr>
            <w:tcW w:w="603" w:type="pct"/>
            <w:vMerge w:val="restart"/>
            <w:tcBorders>
              <w:top w:val="single" w:sz="2" w:space="0" w:color="auto"/>
              <w:left w:val="single" w:sz="2" w:space="0" w:color="auto"/>
              <w:right w:val="single" w:sz="2" w:space="0" w:color="auto"/>
            </w:tcBorders>
            <w:vAlign w:val="center"/>
          </w:tcPr>
          <w:p w:rsidR="00C30601" w:rsidRPr="004D23F5" w:rsidRDefault="00C30601" w:rsidP="005B6F52">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sz w:val="16"/>
                <w:szCs w:val="16"/>
              </w:rPr>
            </w:pPr>
            <w:r w:rsidRPr="004D23F5">
              <w:rPr>
                <w:rFonts w:ascii="Book Antiqua" w:hAnsi="Book Antiqua" w:cstheme="minorHAnsi"/>
                <w:b/>
                <w:sz w:val="16"/>
                <w:szCs w:val="16"/>
              </w:rPr>
              <w:t>Estimates</w:t>
            </w:r>
          </w:p>
        </w:tc>
        <w:tc>
          <w:tcPr>
            <w:cnfStyle w:val="000010000000" w:firstRow="0" w:lastRow="0" w:firstColumn="0" w:lastColumn="0" w:oddVBand="1" w:evenVBand="0" w:oddHBand="0" w:evenHBand="0" w:firstRowFirstColumn="0" w:firstRowLastColumn="0" w:lastRowFirstColumn="0" w:lastRowLastColumn="0"/>
            <w:tcW w:w="404" w:type="pct"/>
            <w:vMerge w:val="restart"/>
            <w:tcBorders>
              <w:top w:val="single" w:sz="2" w:space="0" w:color="auto"/>
              <w:left w:val="single" w:sz="2" w:space="0" w:color="auto"/>
              <w:right w:val="single" w:sz="2" w:space="0" w:color="auto"/>
            </w:tcBorders>
            <w:vAlign w:val="center"/>
          </w:tcPr>
          <w:p w:rsidR="00C30601" w:rsidRPr="004D23F5" w:rsidRDefault="00C30601" w:rsidP="005B6F52">
            <w:pPr>
              <w:autoSpaceDE w:val="0"/>
              <w:autoSpaceDN w:val="0"/>
              <w:adjustRightInd w:val="0"/>
              <w:ind w:left="60" w:right="60"/>
              <w:jc w:val="center"/>
              <w:rPr>
                <w:rFonts w:ascii="Book Antiqua" w:hAnsi="Book Antiqua" w:cstheme="minorHAnsi"/>
                <w:b/>
                <w:sz w:val="16"/>
                <w:szCs w:val="16"/>
              </w:rPr>
            </w:pPr>
            <w:r w:rsidRPr="004D23F5">
              <w:rPr>
                <w:rFonts w:ascii="Book Antiqua" w:hAnsi="Book Antiqua" w:cstheme="minorHAnsi"/>
                <w:b/>
                <w:sz w:val="16"/>
                <w:szCs w:val="16"/>
              </w:rPr>
              <w:t>std. Error</w:t>
            </w:r>
          </w:p>
        </w:tc>
        <w:tc>
          <w:tcPr>
            <w:tcW w:w="415" w:type="pct"/>
            <w:vMerge w:val="restart"/>
            <w:tcBorders>
              <w:top w:val="single" w:sz="2" w:space="0" w:color="auto"/>
              <w:left w:val="single" w:sz="2" w:space="0" w:color="auto"/>
              <w:right w:val="single" w:sz="2" w:space="0" w:color="auto"/>
            </w:tcBorders>
            <w:vAlign w:val="center"/>
          </w:tcPr>
          <w:p w:rsidR="00C30601" w:rsidRPr="004D23F5" w:rsidRDefault="00C30601" w:rsidP="005B6F52">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sz w:val="16"/>
                <w:szCs w:val="16"/>
              </w:rPr>
            </w:pPr>
            <w:r w:rsidRPr="004D23F5">
              <w:rPr>
                <w:rFonts w:ascii="Book Antiqua" w:hAnsi="Book Antiqua" w:cstheme="minorHAnsi"/>
                <w:b/>
                <w:sz w:val="16"/>
                <w:szCs w:val="16"/>
              </w:rPr>
              <w:t>Wald</w:t>
            </w:r>
          </w:p>
        </w:tc>
        <w:tc>
          <w:tcPr>
            <w:cnfStyle w:val="000010000000" w:firstRow="0" w:lastRow="0" w:firstColumn="0" w:lastColumn="0" w:oddVBand="1" w:evenVBand="0" w:oddHBand="0" w:evenHBand="0" w:firstRowFirstColumn="0" w:firstRowLastColumn="0" w:lastRowFirstColumn="0" w:lastRowLastColumn="0"/>
            <w:tcW w:w="275" w:type="pct"/>
            <w:vMerge w:val="restart"/>
            <w:tcBorders>
              <w:top w:val="single" w:sz="2" w:space="0" w:color="auto"/>
              <w:left w:val="single" w:sz="2" w:space="0" w:color="auto"/>
              <w:right w:val="single" w:sz="2" w:space="0" w:color="auto"/>
            </w:tcBorders>
            <w:vAlign w:val="center"/>
          </w:tcPr>
          <w:p w:rsidR="00C30601" w:rsidRPr="004D23F5" w:rsidRDefault="00C30601" w:rsidP="005B6F52">
            <w:pPr>
              <w:autoSpaceDE w:val="0"/>
              <w:autoSpaceDN w:val="0"/>
              <w:adjustRightInd w:val="0"/>
              <w:ind w:left="60" w:right="60"/>
              <w:jc w:val="center"/>
              <w:rPr>
                <w:rFonts w:ascii="Book Antiqua" w:hAnsi="Book Antiqua" w:cstheme="minorHAnsi"/>
                <w:b/>
                <w:sz w:val="16"/>
                <w:szCs w:val="16"/>
              </w:rPr>
            </w:pPr>
            <w:r w:rsidRPr="004D23F5">
              <w:rPr>
                <w:rFonts w:ascii="Book Antiqua" w:hAnsi="Book Antiqua" w:cstheme="minorHAnsi"/>
                <w:b/>
                <w:sz w:val="16"/>
                <w:szCs w:val="16"/>
              </w:rPr>
              <w:t>df</w:t>
            </w:r>
          </w:p>
        </w:tc>
        <w:tc>
          <w:tcPr>
            <w:tcW w:w="419" w:type="pct"/>
            <w:vMerge w:val="restart"/>
            <w:tcBorders>
              <w:top w:val="single" w:sz="2" w:space="0" w:color="auto"/>
              <w:left w:val="single" w:sz="2" w:space="0" w:color="auto"/>
              <w:right w:val="single" w:sz="2" w:space="0" w:color="auto"/>
            </w:tcBorders>
            <w:vAlign w:val="center"/>
          </w:tcPr>
          <w:p w:rsidR="00C30601" w:rsidRPr="004D23F5" w:rsidRDefault="00C30601" w:rsidP="005B6F52">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sz w:val="16"/>
                <w:szCs w:val="16"/>
              </w:rPr>
            </w:pPr>
            <w:r w:rsidRPr="004D23F5">
              <w:rPr>
                <w:rFonts w:ascii="Book Antiqua" w:hAnsi="Book Antiqua" w:cstheme="minorHAnsi"/>
                <w:b/>
                <w:sz w:val="16"/>
                <w:szCs w:val="16"/>
              </w:rPr>
              <w:t>Sig.</w:t>
            </w:r>
          </w:p>
        </w:tc>
        <w:tc>
          <w:tcPr>
            <w:cnfStyle w:val="000010000000" w:firstRow="0" w:lastRow="0" w:firstColumn="0" w:lastColumn="0" w:oddVBand="1" w:evenVBand="0" w:oddHBand="0" w:evenHBand="0" w:firstRowFirstColumn="0" w:firstRowLastColumn="0" w:lastRowFirstColumn="0" w:lastRowLastColumn="0"/>
            <w:tcW w:w="1431" w:type="pct"/>
            <w:gridSpan w:val="2"/>
            <w:tcBorders>
              <w:top w:val="single" w:sz="2" w:space="0" w:color="auto"/>
              <w:left w:val="single" w:sz="2" w:space="0" w:color="auto"/>
              <w:bottom w:val="single" w:sz="2" w:space="0" w:color="auto"/>
              <w:right w:val="single" w:sz="2" w:space="0" w:color="auto"/>
            </w:tcBorders>
            <w:vAlign w:val="center"/>
          </w:tcPr>
          <w:p w:rsidR="00C30601" w:rsidRPr="004D23F5" w:rsidRDefault="00C30601" w:rsidP="005B6F52">
            <w:pPr>
              <w:autoSpaceDE w:val="0"/>
              <w:autoSpaceDN w:val="0"/>
              <w:adjustRightInd w:val="0"/>
              <w:ind w:left="60" w:right="60"/>
              <w:jc w:val="center"/>
              <w:rPr>
                <w:rFonts w:ascii="Book Antiqua" w:hAnsi="Book Antiqua" w:cstheme="minorHAnsi"/>
                <w:b/>
                <w:sz w:val="16"/>
                <w:szCs w:val="16"/>
              </w:rPr>
            </w:pPr>
            <w:r w:rsidRPr="004D23F5">
              <w:rPr>
                <w:rFonts w:ascii="Book Antiqua" w:hAnsi="Book Antiqua" w:cstheme="minorHAnsi"/>
                <w:b/>
                <w:sz w:val="16"/>
                <w:szCs w:val="16"/>
              </w:rPr>
              <w:t>95% Confidence Intervals</w:t>
            </w:r>
          </w:p>
        </w:tc>
        <w:tc>
          <w:tcPr>
            <w:tcW w:w="506" w:type="pct"/>
            <w:vMerge w:val="restart"/>
            <w:tcBorders>
              <w:top w:val="single" w:sz="2" w:space="0" w:color="auto"/>
              <w:left w:val="single" w:sz="2" w:space="0" w:color="auto"/>
              <w:right w:val="nil"/>
            </w:tcBorders>
            <w:vAlign w:val="center"/>
          </w:tcPr>
          <w:p w:rsidR="00C30601" w:rsidRPr="004D23F5" w:rsidRDefault="00C30601" w:rsidP="005B6F52">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sz w:val="16"/>
                <w:szCs w:val="16"/>
              </w:rPr>
            </w:pPr>
            <w:r w:rsidRPr="004D23F5">
              <w:rPr>
                <w:rFonts w:ascii="Book Antiqua" w:hAnsi="Book Antiqua" w:cstheme="minorHAnsi"/>
                <w:b/>
                <w:sz w:val="16"/>
                <w:szCs w:val="16"/>
              </w:rPr>
              <w:t>Results</w:t>
            </w:r>
          </w:p>
        </w:tc>
      </w:tr>
      <w:tr w:rsidR="004D23F5" w:rsidRPr="004D23F5" w:rsidTr="004D23F5">
        <w:tc>
          <w:tcPr>
            <w:cnfStyle w:val="000010000000" w:firstRow="0" w:lastRow="0" w:firstColumn="0" w:lastColumn="0" w:oddVBand="1" w:evenVBand="0" w:oddHBand="0" w:evenHBand="0" w:firstRowFirstColumn="0" w:firstRowLastColumn="0" w:lastRowFirstColumn="0" w:lastRowLastColumn="0"/>
            <w:tcW w:w="947" w:type="pct"/>
            <w:gridSpan w:val="2"/>
            <w:vMerge/>
            <w:tcBorders>
              <w:left w:val="nil"/>
              <w:bottom w:val="single" w:sz="2" w:space="0" w:color="auto"/>
              <w:right w:val="single" w:sz="2" w:space="0" w:color="auto"/>
            </w:tcBorders>
            <w:vAlign w:val="center"/>
          </w:tcPr>
          <w:p w:rsidR="00C30601" w:rsidRPr="004D23F5" w:rsidRDefault="00C30601" w:rsidP="005B6F52">
            <w:pPr>
              <w:autoSpaceDE w:val="0"/>
              <w:autoSpaceDN w:val="0"/>
              <w:adjustRightInd w:val="0"/>
              <w:jc w:val="center"/>
              <w:rPr>
                <w:rFonts w:ascii="Book Antiqua" w:hAnsi="Book Antiqua" w:cstheme="minorHAnsi"/>
                <w:b/>
                <w:sz w:val="16"/>
                <w:szCs w:val="16"/>
              </w:rPr>
            </w:pPr>
          </w:p>
        </w:tc>
        <w:tc>
          <w:tcPr>
            <w:tcW w:w="603" w:type="pct"/>
            <w:vMerge/>
            <w:tcBorders>
              <w:left w:val="single" w:sz="2" w:space="0" w:color="auto"/>
              <w:bottom w:val="single" w:sz="2" w:space="0" w:color="auto"/>
              <w:right w:val="single" w:sz="2" w:space="0" w:color="auto"/>
            </w:tcBorders>
            <w:vAlign w:val="center"/>
          </w:tcPr>
          <w:p w:rsidR="00C30601" w:rsidRPr="004D23F5" w:rsidRDefault="00C30601" w:rsidP="005B6F5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sz w:val="16"/>
                <w:szCs w:val="16"/>
              </w:rPr>
            </w:pPr>
          </w:p>
        </w:tc>
        <w:tc>
          <w:tcPr>
            <w:cnfStyle w:val="000010000000" w:firstRow="0" w:lastRow="0" w:firstColumn="0" w:lastColumn="0" w:oddVBand="1" w:evenVBand="0" w:oddHBand="0" w:evenHBand="0" w:firstRowFirstColumn="0" w:firstRowLastColumn="0" w:lastRowFirstColumn="0" w:lastRowLastColumn="0"/>
            <w:tcW w:w="404" w:type="pct"/>
            <w:vMerge/>
            <w:tcBorders>
              <w:left w:val="single" w:sz="2" w:space="0" w:color="auto"/>
              <w:bottom w:val="single" w:sz="2" w:space="0" w:color="auto"/>
              <w:right w:val="single" w:sz="2" w:space="0" w:color="auto"/>
            </w:tcBorders>
            <w:vAlign w:val="center"/>
          </w:tcPr>
          <w:p w:rsidR="00C30601" w:rsidRPr="004D23F5" w:rsidRDefault="00C30601" w:rsidP="005B6F52">
            <w:pPr>
              <w:autoSpaceDE w:val="0"/>
              <w:autoSpaceDN w:val="0"/>
              <w:adjustRightInd w:val="0"/>
              <w:jc w:val="center"/>
              <w:rPr>
                <w:rFonts w:ascii="Book Antiqua" w:hAnsi="Book Antiqua" w:cstheme="minorHAnsi"/>
                <w:b/>
                <w:sz w:val="16"/>
                <w:szCs w:val="16"/>
              </w:rPr>
            </w:pPr>
          </w:p>
        </w:tc>
        <w:tc>
          <w:tcPr>
            <w:tcW w:w="415" w:type="pct"/>
            <w:vMerge/>
            <w:tcBorders>
              <w:left w:val="single" w:sz="2" w:space="0" w:color="auto"/>
              <w:bottom w:val="single" w:sz="2" w:space="0" w:color="auto"/>
              <w:right w:val="single" w:sz="2" w:space="0" w:color="auto"/>
            </w:tcBorders>
            <w:vAlign w:val="center"/>
          </w:tcPr>
          <w:p w:rsidR="00C30601" w:rsidRPr="004D23F5" w:rsidRDefault="00C30601" w:rsidP="005B6F5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sz w:val="16"/>
                <w:szCs w:val="16"/>
              </w:rPr>
            </w:pPr>
          </w:p>
        </w:tc>
        <w:tc>
          <w:tcPr>
            <w:cnfStyle w:val="000010000000" w:firstRow="0" w:lastRow="0" w:firstColumn="0" w:lastColumn="0" w:oddVBand="1" w:evenVBand="0" w:oddHBand="0" w:evenHBand="0" w:firstRowFirstColumn="0" w:firstRowLastColumn="0" w:lastRowFirstColumn="0" w:lastRowLastColumn="0"/>
            <w:tcW w:w="275" w:type="pct"/>
            <w:vMerge/>
            <w:tcBorders>
              <w:left w:val="single" w:sz="2" w:space="0" w:color="auto"/>
              <w:bottom w:val="single" w:sz="2" w:space="0" w:color="auto"/>
              <w:right w:val="single" w:sz="2" w:space="0" w:color="auto"/>
            </w:tcBorders>
            <w:vAlign w:val="center"/>
          </w:tcPr>
          <w:p w:rsidR="00C30601" w:rsidRPr="004D23F5" w:rsidRDefault="00C30601" w:rsidP="005B6F52">
            <w:pPr>
              <w:autoSpaceDE w:val="0"/>
              <w:autoSpaceDN w:val="0"/>
              <w:adjustRightInd w:val="0"/>
              <w:jc w:val="center"/>
              <w:rPr>
                <w:rFonts w:ascii="Book Antiqua" w:hAnsi="Book Antiqua" w:cstheme="minorHAnsi"/>
                <w:b/>
                <w:sz w:val="16"/>
                <w:szCs w:val="16"/>
              </w:rPr>
            </w:pPr>
          </w:p>
        </w:tc>
        <w:tc>
          <w:tcPr>
            <w:tcW w:w="419" w:type="pct"/>
            <w:vMerge/>
            <w:tcBorders>
              <w:left w:val="single" w:sz="2" w:space="0" w:color="auto"/>
              <w:bottom w:val="single" w:sz="2" w:space="0" w:color="auto"/>
              <w:right w:val="single" w:sz="2" w:space="0" w:color="auto"/>
            </w:tcBorders>
            <w:vAlign w:val="center"/>
          </w:tcPr>
          <w:p w:rsidR="00C30601" w:rsidRPr="004D23F5" w:rsidRDefault="00C30601" w:rsidP="005B6F5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sz w:val="16"/>
                <w:szCs w:val="16"/>
              </w:rPr>
            </w:pPr>
          </w:p>
        </w:tc>
        <w:tc>
          <w:tcPr>
            <w:cnfStyle w:val="000010000000" w:firstRow="0" w:lastRow="0" w:firstColumn="0" w:lastColumn="0" w:oddVBand="1" w:evenVBand="0" w:oddHBand="0" w:evenHBand="0" w:firstRowFirstColumn="0" w:firstRowLastColumn="0" w:lastRowFirstColumn="0" w:lastRowLastColumn="0"/>
            <w:tcW w:w="682" w:type="pct"/>
            <w:tcBorders>
              <w:top w:val="single" w:sz="2" w:space="0" w:color="auto"/>
              <w:left w:val="single" w:sz="2" w:space="0" w:color="auto"/>
              <w:bottom w:val="single" w:sz="2" w:space="0" w:color="auto"/>
              <w:right w:val="single" w:sz="2" w:space="0" w:color="auto"/>
            </w:tcBorders>
            <w:vAlign w:val="center"/>
          </w:tcPr>
          <w:p w:rsidR="00C30601" w:rsidRPr="004D23F5" w:rsidRDefault="00C30601" w:rsidP="005B6F52">
            <w:pPr>
              <w:autoSpaceDE w:val="0"/>
              <w:autoSpaceDN w:val="0"/>
              <w:adjustRightInd w:val="0"/>
              <w:ind w:left="60" w:right="60"/>
              <w:jc w:val="center"/>
              <w:rPr>
                <w:rFonts w:ascii="Book Antiqua" w:hAnsi="Book Antiqua" w:cstheme="minorHAnsi"/>
                <w:b/>
                <w:sz w:val="16"/>
                <w:szCs w:val="16"/>
              </w:rPr>
            </w:pPr>
            <w:r w:rsidRPr="004D23F5">
              <w:rPr>
                <w:rFonts w:ascii="Book Antiqua" w:hAnsi="Book Antiqua" w:cstheme="minorHAnsi"/>
                <w:b/>
                <w:sz w:val="16"/>
                <w:szCs w:val="16"/>
              </w:rPr>
              <w:t>LowerBound</w:t>
            </w:r>
          </w:p>
        </w:tc>
        <w:tc>
          <w:tcPr>
            <w:tcW w:w="749" w:type="pct"/>
            <w:tcBorders>
              <w:top w:val="single" w:sz="2" w:space="0" w:color="auto"/>
              <w:left w:val="single" w:sz="2" w:space="0" w:color="auto"/>
              <w:bottom w:val="single" w:sz="2" w:space="0" w:color="auto"/>
              <w:right w:val="single" w:sz="2" w:space="0" w:color="auto"/>
            </w:tcBorders>
            <w:vAlign w:val="center"/>
          </w:tcPr>
          <w:p w:rsidR="00C30601" w:rsidRPr="004D23F5" w:rsidRDefault="00C30601" w:rsidP="005B6F52">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sz w:val="16"/>
                <w:szCs w:val="16"/>
              </w:rPr>
            </w:pPr>
            <w:r w:rsidRPr="004D23F5">
              <w:rPr>
                <w:rFonts w:ascii="Book Antiqua" w:hAnsi="Book Antiqua" w:cstheme="minorHAnsi"/>
                <w:b/>
                <w:sz w:val="16"/>
                <w:szCs w:val="16"/>
              </w:rPr>
              <w:t>Upperbound</w:t>
            </w:r>
          </w:p>
        </w:tc>
        <w:tc>
          <w:tcPr>
            <w:cnfStyle w:val="000010000000" w:firstRow="0" w:lastRow="0" w:firstColumn="0" w:lastColumn="0" w:oddVBand="1" w:evenVBand="0" w:oddHBand="0" w:evenHBand="0" w:firstRowFirstColumn="0" w:firstRowLastColumn="0" w:lastRowFirstColumn="0" w:lastRowLastColumn="0"/>
            <w:tcW w:w="506" w:type="pct"/>
            <w:vMerge/>
            <w:tcBorders>
              <w:left w:val="single" w:sz="2" w:space="0" w:color="auto"/>
              <w:bottom w:val="single" w:sz="2" w:space="0" w:color="auto"/>
              <w:right w:val="nil"/>
            </w:tcBorders>
            <w:vAlign w:val="center"/>
          </w:tcPr>
          <w:p w:rsidR="00C30601" w:rsidRPr="004D23F5" w:rsidRDefault="00C30601" w:rsidP="005B6F52">
            <w:pPr>
              <w:autoSpaceDE w:val="0"/>
              <w:autoSpaceDN w:val="0"/>
              <w:adjustRightInd w:val="0"/>
              <w:ind w:left="60" w:right="60"/>
              <w:jc w:val="center"/>
              <w:rPr>
                <w:rFonts w:ascii="Book Antiqua" w:hAnsi="Book Antiqua" w:cstheme="minorHAnsi"/>
                <w:b/>
                <w:sz w:val="16"/>
                <w:szCs w:val="16"/>
              </w:rPr>
            </w:pPr>
          </w:p>
        </w:tc>
      </w:tr>
      <w:tr w:rsidR="004D23F5" w:rsidRPr="004D23F5" w:rsidTr="004D23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0" w:type="pct"/>
            <w:vMerge w:val="restart"/>
            <w:tcBorders>
              <w:top w:val="single" w:sz="2" w:space="0" w:color="auto"/>
              <w:left w:val="nil"/>
              <w:right w:val="single" w:sz="2" w:space="0" w:color="auto"/>
            </w:tcBorders>
          </w:tcPr>
          <w:p w:rsidR="00C30601" w:rsidRPr="004D23F5" w:rsidRDefault="00C30601" w:rsidP="005B6F52">
            <w:pPr>
              <w:autoSpaceDE w:val="0"/>
              <w:autoSpaceDN w:val="0"/>
              <w:adjustRightInd w:val="0"/>
              <w:ind w:right="60"/>
              <w:rPr>
                <w:rFonts w:ascii="Book Antiqua" w:hAnsi="Book Antiqua" w:cstheme="minorHAnsi"/>
                <w:sz w:val="16"/>
                <w:szCs w:val="16"/>
              </w:rPr>
            </w:pPr>
            <w:r w:rsidRPr="004D23F5">
              <w:rPr>
                <w:rFonts w:ascii="Book Antiqua" w:hAnsi="Book Antiqua" w:cstheme="minorHAnsi"/>
                <w:sz w:val="16"/>
                <w:szCs w:val="16"/>
              </w:rPr>
              <w:t>threshold</w:t>
            </w:r>
          </w:p>
        </w:tc>
        <w:tc>
          <w:tcPr>
            <w:tcW w:w="387"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16"/>
                <w:szCs w:val="16"/>
              </w:rPr>
            </w:pPr>
            <w:r w:rsidRPr="004D23F5">
              <w:rPr>
                <w:rFonts w:ascii="Book Antiqua" w:hAnsi="Book Antiqua" w:cstheme="minorHAnsi"/>
                <w:sz w:val="16"/>
                <w:szCs w:val="16"/>
              </w:rPr>
              <w:t>[AQ = 0]</w:t>
            </w:r>
          </w:p>
        </w:tc>
        <w:tc>
          <w:tcPr>
            <w:cnfStyle w:val="000010000000" w:firstRow="0" w:lastRow="0" w:firstColumn="0" w:lastColumn="0" w:oddVBand="1" w:evenVBand="0" w:oddHBand="0" w:evenHBand="0" w:firstRowFirstColumn="0" w:firstRowLastColumn="0" w:lastRowFirstColumn="0" w:lastRowLastColumn="0"/>
            <w:tcW w:w="603"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rPr>
                <w:rFonts w:ascii="Book Antiqua" w:hAnsi="Book Antiqua" w:cstheme="minorHAnsi"/>
                <w:sz w:val="16"/>
                <w:szCs w:val="16"/>
              </w:rPr>
            </w:pPr>
            <w:r w:rsidRPr="004D23F5">
              <w:rPr>
                <w:rFonts w:ascii="Book Antiqua" w:hAnsi="Book Antiqua" w:cstheme="minorHAnsi"/>
                <w:sz w:val="16"/>
                <w:szCs w:val="16"/>
              </w:rPr>
              <w:t>-2,202</w:t>
            </w:r>
          </w:p>
        </w:tc>
        <w:tc>
          <w:tcPr>
            <w:tcW w:w="404"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16"/>
                <w:szCs w:val="16"/>
              </w:rPr>
            </w:pPr>
            <w:r w:rsidRPr="004D23F5">
              <w:rPr>
                <w:rFonts w:ascii="Book Antiqua" w:hAnsi="Book Antiqua" w:cstheme="minorHAnsi"/>
                <w:sz w:val="16"/>
                <w:szCs w:val="16"/>
              </w:rPr>
              <w:t>2.020</w:t>
            </w:r>
          </w:p>
        </w:tc>
        <w:tc>
          <w:tcPr>
            <w:cnfStyle w:val="000010000000" w:firstRow="0" w:lastRow="0" w:firstColumn="0" w:lastColumn="0" w:oddVBand="1" w:evenVBand="0" w:oddHBand="0" w:evenHBand="0" w:firstRowFirstColumn="0" w:firstRowLastColumn="0" w:lastRowFirstColumn="0" w:lastRowLastColumn="0"/>
            <w:tcW w:w="415"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rPr>
                <w:rFonts w:ascii="Book Antiqua" w:hAnsi="Book Antiqua" w:cstheme="minorHAnsi"/>
                <w:sz w:val="16"/>
                <w:szCs w:val="16"/>
              </w:rPr>
            </w:pPr>
            <w:r w:rsidRPr="004D23F5">
              <w:rPr>
                <w:rFonts w:ascii="Book Antiqua" w:hAnsi="Book Antiqua" w:cstheme="minorHAnsi"/>
                <w:sz w:val="16"/>
                <w:szCs w:val="16"/>
              </w:rPr>
              <w:t>1,189</w:t>
            </w:r>
          </w:p>
        </w:tc>
        <w:tc>
          <w:tcPr>
            <w:tcW w:w="275"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16"/>
                <w:szCs w:val="16"/>
              </w:rPr>
            </w:pPr>
            <w:r w:rsidRPr="004D23F5">
              <w:rPr>
                <w:rFonts w:ascii="Book Antiqua" w:hAnsi="Book Antiqua" w:cstheme="minorHAnsi"/>
                <w:sz w:val="16"/>
                <w:szCs w:val="16"/>
              </w:rPr>
              <w:t>1</w:t>
            </w:r>
          </w:p>
        </w:tc>
        <w:tc>
          <w:tcPr>
            <w:cnfStyle w:val="000010000000" w:firstRow="0" w:lastRow="0" w:firstColumn="0" w:lastColumn="0" w:oddVBand="1" w:evenVBand="0" w:oddHBand="0" w:evenHBand="0" w:firstRowFirstColumn="0" w:firstRowLastColumn="0" w:lastRowFirstColumn="0" w:lastRowLastColumn="0"/>
            <w:tcW w:w="419"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rPr>
                <w:rFonts w:ascii="Book Antiqua" w:hAnsi="Book Antiqua" w:cstheme="minorHAnsi"/>
                <w:sz w:val="16"/>
                <w:szCs w:val="16"/>
              </w:rPr>
            </w:pPr>
            <w:r w:rsidRPr="004D23F5">
              <w:rPr>
                <w:rFonts w:ascii="Book Antiqua" w:hAnsi="Book Antiqua" w:cstheme="minorHAnsi"/>
                <w:sz w:val="16"/>
                <w:szCs w:val="16"/>
              </w:rPr>
              <w:t>,276</w:t>
            </w:r>
          </w:p>
        </w:tc>
        <w:tc>
          <w:tcPr>
            <w:tcW w:w="682"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16"/>
                <w:szCs w:val="16"/>
              </w:rPr>
            </w:pPr>
            <w:r w:rsidRPr="004D23F5">
              <w:rPr>
                <w:rFonts w:ascii="Book Antiqua" w:hAnsi="Book Antiqua" w:cstheme="minorHAnsi"/>
                <w:sz w:val="16"/>
                <w:szCs w:val="16"/>
              </w:rPr>
              <w:t>-6,160</w:t>
            </w:r>
          </w:p>
        </w:tc>
        <w:tc>
          <w:tcPr>
            <w:cnfStyle w:val="000010000000" w:firstRow="0" w:lastRow="0" w:firstColumn="0" w:lastColumn="0" w:oddVBand="1" w:evenVBand="0" w:oddHBand="0" w:evenHBand="0" w:firstRowFirstColumn="0" w:firstRowLastColumn="0" w:lastRowFirstColumn="0" w:lastRowLastColumn="0"/>
            <w:tcW w:w="749"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rPr>
                <w:rFonts w:ascii="Book Antiqua" w:hAnsi="Book Antiqua" w:cstheme="minorHAnsi"/>
                <w:sz w:val="16"/>
                <w:szCs w:val="16"/>
              </w:rPr>
            </w:pPr>
            <w:r w:rsidRPr="004D23F5">
              <w:rPr>
                <w:rFonts w:ascii="Book Antiqua" w:hAnsi="Book Antiqua" w:cstheme="minorHAnsi"/>
                <w:sz w:val="16"/>
                <w:szCs w:val="16"/>
              </w:rPr>
              <w:t>1,756</w:t>
            </w:r>
          </w:p>
        </w:tc>
        <w:tc>
          <w:tcPr>
            <w:tcW w:w="506" w:type="pct"/>
            <w:tcBorders>
              <w:top w:val="single" w:sz="2" w:space="0" w:color="auto"/>
              <w:left w:val="single" w:sz="2" w:space="0" w:color="auto"/>
              <w:bottom w:val="single" w:sz="2" w:space="0" w:color="auto"/>
              <w:right w:val="nil"/>
            </w:tcBorders>
          </w:tcPr>
          <w:p w:rsidR="00C30601" w:rsidRPr="004D23F5" w:rsidRDefault="00C30601" w:rsidP="005B6F52">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16"/>
                <w:szCs w:val="16"/>
              </w:rPr>
            </w:pPr>
          </w:p>
        </w:tc>
      </w:tr>
      <w:tr w:rsidR="004D23F5" w:rsidRPr="004D23F5" w:rsidTr="004D23F5">
        <w:tc>
          <w:tcPr>
            <w:cnfStyle w:val="000010000000" w:firstRow="0" w:lastRow="0" w:firstColumn="0" w:lastColumn="0" w:oddVBand="1" w:evenVBand="0" w:oddHBand="0" w:evenHBand="0" w:firstRowFirstColumn="0" w:firstRowLastColumn="0" w:lastRowFirstColumn="0" w:lastRowLastColumn="0"/>
            <w:tcW w:w="560" w:type="pct"/>
            <w:vMerge/>
            <w:tcBorders>
              <w:left w:val="nil"/>
              <w:bottom w:val="single" w:sz="2" w:space="0" w:color="auto"/>
              <w:right w:val="single" w:sz="2" w:space="0" w:color="auto"/>
            </w:tcBorders>
          </w:tcPr>
          <w:p w:rsidR="00C30601" w:rsidRPr="004D23F5" w:rsidRDefault="00C30601" w:rsidP="005B6F52">
            <w:pPr>
              <w:autoSpaceDE w:val="0"/>
              <w:autoSpaceDN w:val="0"/>
              <w:adjustRightInd w:val="0"/>
              <w:jc w:val="center"/>
              <w:rPr>
                <w:rFonts w:ascii="Book Antiqua" w:hAnsi="Book Antiqua" w:cstheme="minorHAnsi"/>
                <w:sz w:val="16"/>
                <w:szCs w:val="16"/>
              </w:rPr>
            </w:pPr>
          </w:p>
        </w:tc>
        <w:tc>
          <w:tcPr>
            <w:tcW w:w="387"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16"/>
                <w:szCs w:val="16"/>
              </w:rPr>
            </w:pPr>
            <w:r w:rsidRPr="004D23F5">
              <w:rPr>
                <w:rFonts w:ascii="Book Antiqua" w:hAnsi="Book Antiqua" w:cstheme="minorHAnsi"/>
                <w:sz w:val="16"/>
                <w:szCs w:val="16"/>
              </w:rPr>
              <w:t>[AQ = 1]</w:t>
            </w:r>
          </w:p>
        </w:tc>
        <w:tc>
          <w:tcPr>
            <w:cnfStyle w:val="000010000000" w:firstRow="0" w:lastRow="0" w:firstColumn="0" w:lastColumn="0" w:oddVBand="1" w:evenVBand="0" w:oddHBand="0" w:evenHBand="0" w:firstRowFirstColumn="0" w:firstRowLastColumn="0" w:lastRowFirstColumn="0" w:lastRowLastColumn="0"/>
            <w:tcW w:w="603"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rPr>
                <w:rFonts w:ascii="Book Antiqua" w:hAnsi="Book Antiqua" w:cstheme="minorHAnsi"/>
                <w:sz w:val="16"/>
                <w:szCs w:val="16"/>
              </w:rPr>
            </w:pPr>
            <w:r w:rsidRPr="004D23F5">
              <w:rPr>
                <w:rFonts w:ascii="Book Antiqua" w:hAnsi="Book Antiqua" w:cstheme="minorHAnsi"/>
                <w:sz w:val="16"/>
                <w:szCs w:val="16"/>
              </w:rPr>
              <w:t>1,044</w:t>
            </w:r>
          </w:p>
        </w:tc>
        <w:tc>
          <w:tcPr>
            <w:tcW w:w="404"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16"/>
                <w:szCs w:val="16"/>
              </w:rPr>
            </w:pPr>
            <w:r w:rsidRPr="004D23F5">
              <w:rPr>
                <w:rFonts w:ascii="Book Antiqua" w:hAnsi="Book Antiqua" w:cstheme="minorHAnsi"/>
                <w:sz w:val="16"/>
                <w:szCs w:val="16"/>
              </w:rPr>
              <w:t>1,999</w:t>
            </w:r>
          </w:p>
        </w:tc>
        <w:tc>
          <w:tcPr>
            <w:cnfStyle w:val="000010000000" w:firstRow="0" w:lastRow="0" w:firstColumn="0" w:lastColumn="0" w:oddVBand="1" w:evenVBand="0" w:oddHBand="0" w:evenHBand="0" w:firstRowFirstColumn="0" w:firstRowLastColumn="0" w:lastRowFirstColumn="0" w:lastRowLastColumn="0"/>
            <w:tcW w:w="415"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rPr>
                <w:rFonts w:ascii="Book Antiqua" w:hAnsi="Book Antiqua" w:cstheme="minorHAnsi"/>
                <w:sz w:val="16"/>
                <w:szCs w:val="16"/>
              </w:rPr>
            </w:pPr>
            <w:r w:rsidRPr="004D23F5">
              <w:rPr>
                <w:rFonts w:ascii="Book Antiqua" w:hAnsi="Book Antiqua" w:cstheme="minorHAnsi"/>
                <w:sz w:val="16"/>
                <w:szCs w:val="16"/>
              </w:rPr>
              <w:t>,273</w:t>
            </w:r>
          </w:p>
        </w:tc>
        <w:tc>
          <w:tcPr>
            <w:tcW w:w="275"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16"/>
                <w:szCs w:val="16"/>
              </w:rPr>
            </w:pPr>
            <w:r w:rsidRPr="004D23F5">
              <w:rPr>
                <w:rFonts w:ascii="Book Antiqua" w:hAnsi="Book Antiqua" w:cstheme="minorHAnsi"/>
                <w:sz w:val="16"/>
                <w:szCs w:val="16"/>
              </w:rPr>
              <w:t>1</w:t>
            </w:r>
          </w:p>
        </w:tc>
        <w:tc>
          <w:tcPr>
            <w:cnfStyle w:val="000010000000" w:firstRow="0" w:lastRow="0" w:firstColumn="0" w:lastColumn="0" w:oddVBand="1" w:evenVBand="0" w:oddHBand="0" w:evenHBand="0" w:firstRowFirstColumn="0" w:firstRowLastColumn="0" w:lastRowFirstColumn="0" w:lastRowLastColumn="0"/>
            <w:tcW w:w="419"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rPr>
                <w:rFonts w:ascii="Book Antiqua" w:hAnsi="Book Antiqua" w:cstheme="minorHAnsi"/>
                <w:sz w:val="16"/>
                <w:szCs w:val="16"/>
              </w:rPr>
            </w:pPr>
            <w:r w:rsidRPr="004D23F5">
              <w:rPr>
                <w:rFonts w:ascii="Book Antiqua" w:hAnsi="Book Antiqua" w:cstheme="minorHAnsi"/>
                <w:sz w:val="16"/>
                <w:szCs w:val="16"/>
              </w:rPr>
              <w:t>,601</w:t>
            </w:r>
          </w:p>
        </w:tc>
        <w:tc>
          <w:tcPr>
            <w:tcW w:w="682"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16"/>
                <w:szCs w:val="16"/>
              </w:rPr>
            </w:pPr>
            <w:r w:rsidRPr="004D23F5">
              <w:rPr>
                <w:rFonts w:ascii="Book Antiqua" w:hAnsi="Book Antiqua" w:cstheme="minorHAnsi"/>
                <w:sz w:val="16"/>
                <w:szCs w:val="16"/>
              </w:rPr>
              <w:t>-2,873</w:t>
            </w:r>
          </w:p>
        </w:tc>
        <w:tc>
          <w:tcPr>
            <w:cnfStyle w:val="000010000000" w:firstRow="0" w:lastRow="0" w:firstColumn="0" w:lastColumn="0" w:oddVBand="1" w:evenVBand="0" w:oddHBand="0" w:evenHBand="0" w:firstRowFirstColumn="0" w:firstRowLastColumn="0" w:lastRowFirstColumn="0" w:lastRowLastColumn="0"/>
            <w:tcW w:w="749"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rPr>
                <w:rFonts w:ascii="Book Antiqua" w:hAnsi="Book Antiqua" w:cstheme="minorHAnsi"/>
                <w:sz w:val="16"/>
                <w:szCs w:val="16"/>
              </w:rPr>
            </w:pPr>
            <w:r w:rsidRPr="004D23F5">
              <w:rPr>
                <w:rFonts w:ascii="Book Antiqua" w:hAnsi="Book Antiqua" w:cstheme="minorHAnsi"/>
                <w:sz w:val="16"/>
                <w:szCs w:val="16"/>
              </w:rPr>
              <w:t>4,961</w:t>
            </w:r>
          </w:p>
        </w:tc>
        <w:tc>
          <w:tcPr>
            <w:tcW w:w="506" w:type="pct"/>
            <w:tcBorders>
              <w:top w:val="single" w:sz="2" w:space="0" w:color="auto"/>
              <w:left w:val="single" w:sz="2" w:space="0" w:color="auto"/>
              <w:bottom w:val="single" w:sz="2" w:space="0" w:color="auto"/>
              <w:right w:val="nil"/>
            </w:tcBorders>
          </w:tcPr>
          <w:p w:rsidR="00C30601" w:rsidRPr="004D23F5" w:rsidRDefault="00C30601" w:rsidP="005B6F52">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16"/>
                <w:szCs w:val="16"/>
              </w:rPr>
            </w:pPr>
          </w:p>
        </w:tc>
      </w:tr>
      <w:tr w:rsidR="004D23F5" w:rsidRPr="004D23F5" w:rsidTr="004D23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0" w:type="pct"/>
            <w:vMerge w:val="restart"/>
            <w:tcBorders>
              <w:top w:val="single" w:sz="2" w:space="0" w:color="auto"/>
              <w:left w:val="nil"/>
              <w:right w:val="single" w:sz="2" w:space="0" w:color="auto"/>
            </w:tcBorders>
          </w:tcPr>
          <w:p w:rsidR="00C30601" w:rsidRPr="004D23F5" w:rsidRDefault="00C30601" w:rsidP="005B6F52">
            <w:pPr>
              <w:autoSpaceDE w:val="0"/>
              <w:autoSpaceDN w:val="0"/>
              <w:adjustRightInd w:val="0"/>
              <w:ind w:right="60"/>
              <w:rPr>
                <w:rFonts w:ascii="Book Antiqua" w:hAnsi="Book Antiqua" w:cstheme="minorHAnsi"/>
                <w:sz w:val="16"/>
                <w:szCs w:val="16"/>
              </w:rPr>
            </w:pPr>
            <w:r w:rsidRPr="004D23F5">
              <w:rPr>
                <w:rFonts w:ascii="Book Antiqua" w:hAnsi="Book Antiqua" w:cstheme="minorHAnsi"/>
                <w:sz w:val="16"/>
                <w:szCs w:val="16"/>
              </w:rPr>
              <w:t>Location</w:t>
            </w:r>
          </w:p>
        </w:tc>
        <w:tc>
          <w:tcPr>
            <w:tcW w:w="387"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16"/>
                <w:szCs w:val="16"/>
              </w:rPr>
            </w:pPr>
            <w:r w:rsidRPr="004D23F5">
              <w:rPr>
                <w:rFonts w:ascii="Book Antiqua" w:hAnsi="Book Antiqua" w:cstheme="minorHAnsi"/>
                <w:sz w:val="16"/>
                <w:szCs w:val="16"/>
              </w:rPr>
              <w:t>SO</w:t>
            </w:r>
          </w:p>
        </w:tc>
        <w:tc>
          <w:tcPr>
            <w:cnfStyle w:val="000010000000" w:firstRow="0" w:lastRow="0" w:firstColumn="0" w:lastColumn="0" w:oddVBand="1" w:evenVBand="0" w:oddHBand="0" w:evenHBand="0" w:firstRowFirstColumn="0" w:firstRowLastColumn="0" w:lastRowFirstColumn="0" w:lastRowLastColumn="0"/>
            <w:tcW w:w="603"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rPr>
                <w:rFonts w:ascii="Book Antiqua" w:hAnsi="Book Antiqua" w:cstheme="minorHAnsi"/>
                <w:sz w:val="16"/>
                <w:szCs w:val="16"/>
              </w:rPr>
            </w:pPr>
            <w:r w:rsidRPr="004D23F5">
              <w:rPr>
                <w:rFonts w:ascii="Book Antiqua" w:hAnsi="Book Antiqua" w:cstheme="minorHAnsi"/>
                <w:sz w:val="16"/>
                <w:szCs w:val="16"/>
              </w:rPr>
              <w:t>,002</w:t>
            </w:r>
          </w:p>
        </w:tc>
        <w:tc>
          <w:tcPr>
            <w:tcW w:w="404"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16"/>
                <w:szCs w:val="16"/>
              </w:rPr>
            </w:pPr>
            <w:r w:rsidRPr="004D23F5">
              <w:rPr>
                <w:rFonts w:ascii="Book Antiqua" w:hAnsi="Book Antiqua" w:cstheme="minorHAnsi"/>
                <w:sz w:val="16"/>
                <w:szCs w:val="16"/>
              </w:rPr>
              <w:t>,005</w:t>
            </w:r>
          </w:p>
        </w:tc>
        <w:tc>
          <w:tcPr>
            <w:cnfStyle w:val="000010000000" w:firstRow="0" w:lastRow="0" w:firstColumn="0" w:lastColumn="0" w:oddVBand="1" w:evenVBand="0" w:oddHBand="0" w:evenHBand="0" w:firstRowFirstColumn="0" w:firstRowLastColumn="0" w:lastRowFirstColumn="0" w:lastRowLastColumn="0"/>
            <w:tcW w:w="415"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rPr>
                <w:rFonts w:ascii="Book Antiqua" w:hAnsi="Book Antiqua" w:cstheme="minorHAnsi"/>
                <w:sz w:val="16"/>
                <w:szCs w:val="16"/>
              </w:rPr>
            </w:pPr>
            <w:r w:rsidRPr="004D23F5">
              <w:rPr>
                <w:rFonts w:ascii="Book Antiqua" w:hAnsi="Book Antiqua" w:cstheme="minorHAnsi"/>
                <w:sz w:val="16"/>
                <w:szCs w:val="16"/>
              </w:rPr>
              <w:t>, 132</w:t>
            </w:r>
          </w:p>
        </w:tc>
        <w:tc>
          <w:tcPr>
            <w:tcW w:w="275"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16"/>
                <w:szCs w:val="16"/>
              </w:rPr>
            </w:pPr>
            <w:r w:rsidRPr="004D23F5">
              <w:rPr>
                <w:rFonts w:ascii="Book Antiqua" w:hAnsi="Book Antiqua" w:cstheme="minorHAnsi"/>
                <w:sz w:val="16"/>
                <w:szCs w:val="16"/>
              </w:rPr>
              <w:t>1</w:t>
            </w:r>
          </w:p>
        </w:tc>
        <w:tc>
          <w:tcPr>
            <w:cnfStyle w:val="000010000000" w:firstRow="0" w:lastRow="0" w:firstColumn="0" w:lastColumn="0" w:oddVBand="1" w:evenVBand="0" w:oddHBand="0" w:evenHBand="0" w:firstRowFirstColumn="0" w:firstRowLastColumn="0" w:lastRowFirstColumn="0" w:lastRowLastColumn="0"/>
            <w:tcW w:w="419"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rPr>
                <w:rFonts w:ascii="Book Antiqua" w:hAnsi="Book Antiqua" w:cstheme="minorHAnsi"/>
                <w:sz w:val="16"/>
                <w:szCs w:val="16"/>
              </w:rPr>
            </w:pPr>
            <w:r w:rsidRPr="004D23F5">
              <w:rPr>
                <w:rFonts w:ascii="Book Antiqua" w:hAnsi="Book Antiqua" w:cstheme="minorHAnsi"/>
                <w:sz w:val="16"/>
                <w:szCs w:val="16"/>
              </w:rPr>
              <w:t>,717</w:t>
            </w:r>
          </w:p>
        </w:tc>
        <w:tc>
          <w:tcPr>
            <w:tcW w:w="682"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16"/>
                <w:szCs w:val="16"/>
              </w:rPr>
            </w:pPr>
            <w:r w:rsidRPr="004D23F5">
              <w:rPr>
                <w:rFonts w:ascii="Book Antiqua" w:hAnsi="Book Antiqua" w:cstheme="minorHAnsi"/>
                <w:sz w:val="16"/>
                <w:szCs w:val="16"/>
              </w:rPr>
              <w:t>-.008</w:t>
            </w:r>
          </w:p>
        </w:tc>
        <w:tc>
          <w:tcPr>
            <w:cnfStyle w:val="000010000000" w:firstRow="0" w:lastRow="0" w:firstColumn="0" w:lastColumn="0" w:oddVBand="1" w:evenVBand="0" w:oddHBand="0" w:evenHBand="0" w:firstRowFirstColumn="0" w:firstRowLastColumn="0" w:lastRowFirstColumn="0" w:lastRowLastColumn="0"/>
            <w:tcW w:w="749"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rPr>
                <w:rFonts w:ascii="Book Antiqua" w:hAnsi="Book Antiqua" w:cstheme="minorHAnsi"/>
                <w:sz w:val="16"/>
                <w:szCs w:val="16"/>
              </w:rPr>
            </w:pPr>
            <w:r w:rsidRPr="004D23F5">
              <w:rPr>
                <w:rFonts w:ascii="Book Antiqua" w:hAnsi="Book Antiqua" w:cstheme="minorHAnsi"/>
                <w:sz w:val="16"/>
                <w:szCs w:val="16"/>
              </w:rPr>
              <w:t>,012</w:t>
            </w:r>
          </w:p>
        </w:tc>
        <w:tc>
          <w:tcPr>
            <w:tcW w:w="506" w:type="pct"/>
            <w:tcBorders>
              <w:top w:val="single" w:sz="2" w:space="0" w:color="auto"/>
              <w:left w:val="single" w:sz="2" w:space="0" w:color="auto"/>
              <w:bottom w:val="single" w:sz="2" w:space="0" w:color="auto"/>
              <w:right w:val="nil"/>
            </w:tcBorders>
          </w:tcPr>
          <w:p w:rsidR="00C30601" w:rsidRPr="004D23F5" w:rsidRDefault="00C30601" w:rsidP="005B6F52">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16"/>
                <w:szCs w:val="16"/>
              </w:rPr>
            </w:pPr>
            <w:r w:rsidRPr="004D23F5">
              <w:rPr>
                <w:rFonts w:ascii="Book Antiqua" w:hAnsi="Book Antiqua" w:cstheme="minorHAnsi"/>
                <w:sz w:val="16"/>
                <w:szCs w:val="16"/>
              </w:rPr>
              <w:t>+</w:t>
            </w:r>
          </w:p>
        </w:tc>
      </w:tr>
      <w:tr w:rsidR="004D23F5" w:rsidRPr="004D23F5" w:rsidTr="004D23F5">
        <w:tc>
          <w:tcPr>
            <w:cnfStyle w:val="000010000000" w:firstRow="0" w:lastRow="0" w:firstColumn="0" w:lastColumn="0" w:oddVBand="1" w:evenVBand="0" w:oddHBand="0" w:evenHBand="0" w:firstRowFirstColumn="0" w:firstRowLastColumn="0" w:lastRowFirstColumn="0" w:lastRowLastColumn="0"/>
            <w:tcW w:w="560" w:type="pct"/>
            <w:vMerge/>
            <w:tcBorders>
              <w:left w:val="nil"/>
              <w:right w:val="single" w:sz="2" w:space="0" w:color="auto"/>
            </w:tcBorders>
          </w:tcPr>
          <w:p w:rsidR="00C30601" w:rsidRPr="004D23F5" w:rsidRDefault="00C30601" w:rsidP="005B6F52">
            <w:pPr>
              <w:autoSpaceDE w:val="0"/>
              <w:autoSpaceDN w:val="0"/>
              <w:adjustRightInd w:val="0"/>
              <w:jc w:val="center"/>
              <w:rPr>
                <w:rFonts w:ascii="Book Antiqua" w:hAnsi="Book Antiqua" w:cstheme="minorHAnsi"/>
                <w:sz w:val="16"/>
                <w:szCs w:val="16"/>
              </w:rPr>
            </w:pPr>
          </w:p>
        </w:tc>
        <w:tc>
          <w:tcPr>
            <w:tcW w:w="387"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16"/>
                <w:szCs w:val="16"/>
              </w:rPr>
            </w:pPr>
            <w:r w:rsidRPr="004D23F5">
              <w:rPr>
                <w:rFonts w:ascii="Book Antiqua" w:hAnsi="Book Antiqua" w:cstheme="minorHAnsi"/>
                <w:sz w:val="16"/>
                <w:szCs w:val="16"/>
              </w:rPr>
              <w:t>BO</w:t>
            </w:r>
          </w:p>
        </w:tc>
        <w:tc>
          <w:tcPr>
            <w:cnfStyle w:val="000010000000" w:firstRow="0" w:lastRow="0" w:firstColumn="0" w:lastColumn="0" w:oddVBand="1" w:evenVBand="0" w:oddHBand="0" w:evenHBand="0" w:firstRowFirstColumn="0" w:firstRowLastColumn="0" w:lastRowFirstColumn="0" w:lastRowLastColumn="0"/>
            <w:tcW w:w="603"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rPr>
                <w:rFonts w:ascii="Book Antiqua" w:hAnsi="Book Antiqua" w:cstheme="minorHAnsi"/>
                <w:sz w:val="16"/>
                <w:szCs w:val="16"/>
              </w:rPr>
            </w:pPr>
            <w:r w:rsidRPr="004D23F5">
              <w:rPr>
                <w:rFonts w:ascii="Book Antiqua" w:hAnsi="Book Antiqua" w:cstheme="minorHAnsi"/>
                <w:sz w:val="16"/>
                <w:szCs w:val="16"/>
              </w:rPr>
              <w:t>-.002</w:t>
            </w:r>
          </w:p>
        </w:tc>
        <w:tc>
          <w:tcPr>
            <w:tcW w:w="404"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16"/>
                <w:szCs w:val="16"/>
              </w:rPr>
            </w:pPr>
            <w:r w:rsidRPr="004D23F5">
              <w:rPr>
                <w:rFonts w:ascii="Book Antiqua" w:hAnsi="Book Antiqua" w:cstheme="minorHAnsi"/>
                <w:sz w:val="16"/>
                <w:szCs w:val="16"/>
              </w:rPr>
              <w:t>,007</w:t>
            </w:r>
          </w:p>
        </w:tc>
        <w:tc>
          <w:tcPr>
            <w:cnfStyle w:val="000010000000" w:firstRow="0" w:lastRow="0" w:firstColumn="0" w:lastColumn="0" w:oddVBand="1" w:evenVBand="0" w:oddHBand="0" w:evenHBand="0" w:firstRowFirstColumn="0" w:firstRowLastColumn="0" w:lastRowFirstColumn="0" w:lastRowLastColumn="0"/>
            <w:tcW w:w="415"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rPr>
                <w:rFonts w:ascii="Book Antiqua" w:hAnsi="Book Antiqua" w:cstheme="minorHAnsi"/>
                <w:sz w:val="16"/>
                <w:szCs w:val="16"/>
              </w:rPr>
            </w:pPr>
            <w:r w:rsidRPr="004D23F5">
              <w:rPr>
                <w:rFonts w:ascii="Book Antiqua" w:hAnsi="Book Antiqua" w:cstheme="minorHAnsi"/>
                <w:sz w:val="16"/>
                <w:szCs w:val="16"/>
              </w:rPr>
              <w:t>.081</w:t>
            </w:r>
          </w:p>
        </w:tc>
        <w:tc>
          <w:tcPr>
            <w:tcW w:w="275"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16"/>
                <w:szCs w:val="16"/>
              </w:rPr>
            </w:pPr>
            <w:r w:rsidRPr="004D23F5">
              <w:rPr>
                <w:rFonts w:ascii="Book Antiqua" w:hAnsi="Book Antiqua" w:cstheme="minorHAnsi"/>
                <w:sz w:val="16"/>
                <w:szCs w:val="16"/>
              </w:rPr>
              <w:t>1</w:t>
            </w:r>
          </w:p>
        </w:tc>
        <w:tc>
          <w:tcPr>
            <w:cnfStyle w:val="000010000000" w:firstRow="0" w:lastRow="0" w:firstColumn="0" w:lastColumn="0" w:oddVBand="1" w:evenVBand="0" w:oddHBand="0" w:evenHBand="0" w:firstRowFirstColumn="0" w:firstRowLastColumn="0" w:lastRowFirstColumn="0" w:lastRowLastColumn="0"/>
            <w:tcW w:w="419"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rPr>
                <w:rFonts w:ascii="Book Antiqua" w:hAnsi="Book Antiqua" w:cstheme="minorHAnsi"/>
                <w:sz w:val="16"/>
                <w:szCs w:val="16"/>
              </w:rPr>
            </w:pPr>
            <w:r w:rsidRPr="004D23F5">
              <w:rPr>
                <w:rFonts w:ascii="Book Antiqua" w:hAnsi="Book Antiqua" w:cstheme="minorHAnsi"/>
                <w:sz w:val="16"/>
                <w:szCs w:val="16"/>
              </w:rPr>
              <w:t>,777</w:t>
            </w:r>
          </w:p>
        </w:tc>
        <w:tc>
          <w:tcPr>
            <w:tcW w:w="682"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16"/>
                <w:szCs w:val="16"/>
              </w:rPr>
            </w:pPr>
            <w:r w:rsidRPr="004D23F5">
              <w:rPr>
                <w:rFonts w:ascii="Book Antiqua" w:hAnsi="Book Antiqua" w:cstheme="minorHAnsi"/>
                <w:sz w:val="16"/>
                <w:szCs w:val="16"/>
              </w:rPr>
              <w:t>-.015</w:t>
            </w:r>
          </w:p>
        </w:tc>
        <w:tc>
          <w:tcPr>
            <w:cnfStyle w:val="000010000000" w:firstRow="0" w:lastRow="0" w:firstColumn="0" w:lastColumn="0" w:oddVBand="1" w:evenVBand="0" w:oddHBand="0" w:evenHBand="0" w:firstRowFirstColumn="0" w:firstRowLastColumn="0" w:lastRowFirstColumn="0" w:lastRowLastColumn="0"/>
            <w:tcW w:w="749"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rPr>
                <w:rFonts w:ascii="Book Antiqua" w:hAnsi="Book Antiqua" w:cstheme="minorHAnsi"/>
                <w:sz w:val="16"/>
                <w:szCs w:val="16"/>
              </w:rPr>
            </w:pPr>
            <w:r w:rsidRPr="004D23F5">
              <w:rPr>
                <w:rFonts w:ascii="Book Antiqua" w:hAnsi="Book Antiqua" w:cstheme="minorHAnsi"/>
                <w:sz w:val="16"/>
                <w:szCs w:val="16"/>
              </w:rPr>
              <w:t>,011</w:t>
            </w:r>
          </w:p>
        </w:tc>
        <w:tc>
          <w:tcPr>
            <w:tcW w:w="506" w:type="pct"/>
            <w:tcBorders>
              <w:top w:val="single" w:sz="2" w:space="0" w:color="auto"/>
              <w:left w:val="single" w:sz="2" w:space="0" w:color="auto"/>
              <w:bottom w:val="single" w:sz="2" w:space="0" w:color="auto"/>
              <w:right w:val="nil"/>
            </w:tcBorders>
          </w:tcPr>
          <w:p w:rsidR="00C30601" w:rsidRPr="004D23F5" w:rsidRDefault="00C30601" w:rsidP="005B6F52">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16"/>
                <w:szCs w:val="16"/>
              </w:rPr>
            </w:pPr>
            <w:r w:rsidRPr="004D23F5">
              <w:rPr>
                <w:rFonts w:ascii="Book Antiqua" w:hAnsi="Book Antiqua" w:cstheme="minorHAnsi"/>
                <w:sz w:val="16"/>
                <w:szCs w:val="16"/>
              </w:rPr>
              <w:t>-</w:t>
            </w:r>
          </w:p>
        </w:tc>
      </w:tr>
      <w:tr w:rsidR="004D23F5" w:rsidRPr="004D23F5" w:rsidTr="004D23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0" w:type="pct"/>
            <w:vMerge/>
            <w:tcBorders>
              <w:left w:val="nil"/>
              <w:right w:val="single" w:sz="2" w:space="0" w:color="auto"/>
            </w:tcBorders>
          </w:tcPr>
          <w:p w:rsidR="00C30601" w:rsidRPr="004D23F5" w:rsidRDefault="00C30601" w:rsidP="005B6F52">
            <w:pPr>
              <w:autoSpaceDE w:val="0"/>
              <w:autoSpaceDN w:val="0"/>
              <w:adjustRightInd w:val="0"/>
              <w:jc w:val="center"/>
              <w:rPr>
                <w:rFonts w:ascii="Book Antiqua" w:hAnsi="Book Antiqua" w:cstheme="minorHAnsi"/>
                <w:sz w:val="16"/>
                <w:szCs w:val="16"/>
              </w:rPr>
            </w:pPr>
          </w:p>
        </w:tc>
        <w:tc>
          <w:tcPr>
            <w:tcW w:w="387"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16"/>
                <w:szCs w:val="16"/>
              </w:rPr>
            </w:pPr>
            <w:r w:rsidRPr="004D23F5">
              <w:rPr>
                <w:rFonts w:ascii="Book Antiqua" w:hAnsi="Book Antiqua" w:cstheme="minorHAnsi"/>
                <w:sz w:val="16"/>
                <w:szCs w:val="16"/>
              </w:rPr>
              <w:t>AGE</w:t>
            </w:r>
          </w:p>
        </w:tc>
        <w:tc>
          <w:tcPr>
            <w:cnfStyle w:val="000010000000" w:firstRow="0" w:lastRow="0" w:firstColumn="0" w:lastColumn="0" w:oddVBand="1" w:evenVBand="0" w:oddHBand="0" w:evenHBand="0" w:firstRowFirstColumn="0" w:firstRowLastColumn="0" w:lastRowFirstColumn="0" w:lastRowLastColumn="0"/>
            <w:tcW w:w="603"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rPr>
                <w:rFonts w:ascii="Book Antiqua" w:hAnsi="Book Antiqua" w:cstheme="minorHAnsi"/>
                <w:sz w:val="16"/>
                <w:szCs w:val="16"/>
              </w:rPr>
            </w:pPr>
            <w:r w:rsidRPr="004D23F5">
              <w:rPr>
                <w:rFonts w:ascii="Book Antiqua" w:hAnsi="Book Antiqua" w:cstheme="minorHAnsi"/>
                <w:sz w:val="16"/>
                <w:szCs w:val="16"/>
              </w:rPr>
              <w:t>,001</w:t>
            </w:r>
          </w:p>
        </w:tc>
        <w:tc>
          <w:tcPr>
            <w:tcW w:w="404"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16"/>
                <w:szCs w:val="16"/>
              </w:rPr>
            </w:pPr>
            <w:r w:rsidRPr="004D23F5">
              <w:rPr>
                <w:rFonts w:ascii="Book Antiqua" w:hAnsi="Book Antiqua" w:cstheme="minorHAnsi"/>
                <w:sz w:val="16"/>
                <w:szCs w:val="16"/>
              </w:rPr>
              <w:t>,005</w:t>
            </w:r>
          </w:p>
        </w:tc>
        <w:tc>
          <w:tcPr>
            <w:cnfStyle w:val="000010000000" w:firstRow="0" w:lastRow="0" w:firstColumn="0" w:lastColumn="0" w:oddVBand="1" w:evenVBand="0" w:oddHBand="0" w:evenHBand="0" w:firstRowFirstColumn="0" w:firstRowLastColumn="0" w:lastRowFirstColumn="0" w:lastRowLastColumn="0"/>
            <w:tcW w:w="415"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rPr>
                <w:rFonts w:ascii="Book Antiqua" w:hAnsi="Book Antiqua" w:cstheme="minorHAnsi"/>
                <w:sz w:val="16"/>
                <w:szCs w:val="16"/>
              </w:rPr>
            </w:pPr>
            <w:r w:rsidRPr="004D23F5">
              <w:rPr>
                <w:rFonts w:ascii="Book Antiqua" w:hAnsi="Book Antiqua" w:cstheme="minorHAnsi"/>
                <w:sz w:val="16"/>
                <w:szCs w:val="16"/>
              </w:rPr>
              <w:t>,018</w:t>
            </w:r>
          </w:p>
        </w:tc>
        <w:tc>
          <w:tcPr>
            <w:tcW w:w="275"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16"/>
                <w:szCs w:val="16"/>
              </w:rPr>
            </w:pPr>
            <w:r w:rsidRPr="004D23F5">
              <w:rPr>
                <w:rFonts w:ascii="Book Antiqua" w:hAnsi="Book Antiqua" w:cstheme="minorHAnsi"/>
                <w:sz w:val="16"/>
                <w:szCs w:val="16"/>
              </w:rPr>
              <w:t>1</w:t>
            </w:r>
          </w:p>
        </w:tc>
        <w:tc>
          <w:tcPr>
            <w:cnfStyle w:val="000010000000" w:firstRow="0" w:lastRow="0" w:firstColumn="0" w:lastColumn="0" w:oddVBand="1" w:evenVBand="0" w:oddHBand="0" w:evenHBand="0" w:firstRowFirstColumn="0" w:firstRowLastColumn="0" w:lastRowFirstColumn="0" w:lastRowLastColumn="0"/>
            <w:tcW w:w="419"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rPr>
                <w:rFonts w:ascii="Book Antiqua" w:hAnsi="Book Antiqua" w:cstheme="minorHAnsi"/>
                <w:sz w:val="16"/>
                <w:szCs w:val="16"/>
              </w:rPr>
            </w:pPr>
            <w:r w:rsidRPr="004D23F5">
              <w:rPr>
                <w:rFonts w:ascii="Book Antiqua" w:hAnsi="Book Antiqua" w:cstheme="minorHAnsi"/>
                <w:sz w:val="16"/>
                <w:szCs w:val="16"/>
              </w:rPr>
              <w:t>,893</w:t>
            </w:r>
          </w:p>
        </w:tc>
        <w:tc>
          <w:tcPr>
            <w:tcW w:w="682"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16"/>
                <w:szCs w:val="16"/>
              </w:rPr>
            </w:pPr>
            <w:r w:rsidRPr="004D23F5">
              <w:rPr>
                <w:rFonts w:ascii="Book Antiqua" w:hAnsi="Book Antiqua" w:cstheme="minorHAnsi"/>
                <w:sz w:val="16"/>
                <w:szCs w:val="16"/>
              </w:rPr>
              <w:t>-.009</w:t>
            </w:r>
          </w:p>
        </w:tc>
        <w:tc>
          <w:tcPr>
            <w:cnfStyle w:val="000010000000" w:firstRow="0" w:lastRow="0" w:firstColumn="0" w:lastColumn="0" w:oddVBand="1" w:evenVBand="0" w:oddHBand="0" w:evenHBand="0" w:firstRowFirstColumn="0" w:firstRowLastColumn="0" w:lastRowFirstColumn="0" w:lastRowLastColumn="0"/>
            <w:tcW w:w="749"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rPr>
                <w:rFonts w:ascii="Book Antiqua" w:hAnsi="Book Antiqua" w:cstheme="minorHAnsi"/>
                <w:sz w:val="16"/>
                <w:szCs w:val="16"/>
              </w:rPr>
            </w:pPr>
            <w:r w:rsidRPr="004D23F5">
              <w:rPr>
                <w:rFonts w:ascii="Book Antiqua" w:hAnsi="Book Antiqua" w:cstheme="minorHAnsi"/>
                <w:sz w:val="16"/>
                <w:szCs w:val="16"/>
              </w:rPr>
              <w:t>,010</w:t>
            </w:r>
          </w:p>
        </w:tc>
        <w:tc>
          <w:tcPr>
            <w:tcW w:w="506" w:type="pct"/>
            <w:tcBorders>
              <w:top w:val="single" w:sz="2" w:space="0" w:color="auto"/>
              <w:left w:val="single" w:sz="2" w:space="0" w:color="auto"/>
              <w:bottom w:val="single" w:sz="2" w:space="0" w:color="auto"/>
              <w:right w:val="nil"/>
            </w:tcBorders>
          </w:tcPr>
          <w:p w:rsidR="00C30601" w:rsidRPr="004D23F5" w:rsidRDefault="00C30601" w:rsidP="005B6F52">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16"/>
                <w:szCs w:val="16"/>
              </w:rPr>
            </w:pPr>
            <w:r w:rsidRPr="004D23F5">
              <w:rPr>
                <w:rFonts w:ascii="Book Antiqua" w:hAnsi="Book Antiqua" w:cstheme="minorHAnsi"/>
                <w:sz w:val="16"/>
                <w:szCs w:val="16"/>
              </w:rPr>
              <w:t>+</w:t>
            </w:r>
          </w:p>
        </w:tc>
      </w:tr>
      <w:tr w:rsidR="004D23F5" w:rsidRPr="004D23F5" w:rsidTr="004D23F5">
        <w:tc>
          <w:tcPr>
            <w:cnfStyle w:val="000010000000" w:firstRow="0" w:lastRow="0" w:firstColumn="0" w:lastColumn="0" w:oddVBand="1" w:evenVBand="0" w:oddHBand="0" w:evenHBand="0" w:firstRowFirstColumn="0" w:firstRowLastColumn="0" w:lastRowFirstColumn="0" w:lastRowLastColumn="0"/>
            <w:tcW w:w="560" w:type="pct"/>
            <w:vMerge/>
            <w:tcBorders>
              <w:left w:val="nil"/>
              <w:bottom w:val="single" w:sz="2" w:space="0" w:color="auto"/>
              <w:right w:val="single" w:sz="2" w:space="0" w:color="auto"/>
            </w:tcBorders>
          </w:tcPr>
          <w:p w:rsidR="00C30601" w:rsidRPr="004D23F5" w:rsidRDefault="00C30601" w:rsidP="005B6F52">
            <w:pPr>
              <w:autoSpaceDE w:val="0"/>
              <w:autoSpaceDN w:val="0"/>
              <w:adjustRightInd w:val="0"/>
              <w:jc w:val="center"/>
              <w:rPr>
                <w:rFonts w:ascii="Book Antiqua" w:hAnsi="Book Antiqua" w:cstheme="minorHAnsi"/>
                <w:sz w:val="16"/>
                <w:szCs w:val="16"/>
              </w:rPr>
            </w:pPr>
          </w:p>
        </w:tc>
        <w:tc>
          <w:tcPr>
            <w:tcW w:w="387"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16"/>
                <w:szCs w:val="16"/>
              </w:rPr>
            </w:pPr>
            <w:r w:rsidRPr="004D23F5">
              <w:rPr>
                <w:rFonts w:ascii="Book Antiqua" w:hAnsi="Book Antiqua" w:cstheme="minorHAnsi"/>
                <w:sz w:val="16"/>
                <w:szCs w:val="16"/>
              </w:rPr>
              <w:t>SIZE</w:t>
            </w:r>
          </w:p>
        </w:tc>
        <w:tc>
          <w:tcPr>
            <w:cnfStyle w:val="000010000000" w:firstRow="0" w:lastRow="0" w:firstColumn="0" w:lastColumn="0" w:oddVBand="1" w:evenVBand="0" w:oddHBand="0" w:evenHBand="0" w:firstRowFirstColumn="0" w:firstRowLastColumn="0" w:lastRowFirstColumn="0" w:lastRowLastColumn="0"/>
            <w:tcW w:w="603"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rPr>
                <w:rFonts w:ascii="Book Antiqua" w:hAnsi="Book Antiqua" w:cstheme="minorHAnsi"/>
                <w:sz w:val="16"/>
                <w:szCs w:val="16"/>
              </w:rPr>
            </w:pPr>
            <w:r w:rsidRPr="004D23F5">
              <w:rPr>
                <w:rFonts w:ascii="Book Antiqua" w:hAnsi="Book Antiqua" w:cstheme="minorHAnsi"/>
                <w:sz w:val="16"/>
                <w:szCs w:val="16"/>
              </w:rPr>
              <w:t>,124</w:t>
            </w:r>
          </w:p>
        </w:tc>
        <w:tc>
          <w:tcPr>
            <w:tcW w:w="404"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16"/>
                <w:szCs w:val="16"/>
              </w:rPr>
            </w:pPr>
            <w:r w:rsidRPr="004D23F5">
              <w:rPr>
                <w:rFonts w:ascii="Book Antiqua" w:hAnsi="Book Antiqua" w:cstheme="minorHAnsi"/>
                <w:sz w:val="16"/>
                <w:szCs w:val="16"/>
              </w:rPr>
              <w:t>,140</w:t>
            </w:r>
          </w:p>
        </w:tc>
        <w:tc>
          <w:tcPr>
            <w:cnfStyle w:val="000010000000" w:firstRow="0" w:lastRow="0" w:firstColumn="0" w:lastColumn="0" w:oddVBand="1" w:evenVBand="0" w:oddHBand="0" w:evenHBand="0" w:firstRowFirstColumn="0" w:firstRowLastColumn="0" w:lastRowFirstColumn="0" w:lastRowLastColumn="0"/>
            <w:tcW w:w="415"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rPr>
                <w:rFonts w:ascii="Book Antiqua" w:hAnsi="Book Antiqua" w:cstheme="minorHAnsi"/>
                <w:sz w:val="16"/>
                <w:szCs w:val="16"/>
              </w:rPr>
            </w:pPr>
            <w:r w:rsidRPr="004D23F5">
              <w:rPr>
                <w:rFonts w:ascii="Book Antiqua" w:hAnsi="Book Antiqua" w:cstheme="minorHAnsi"/>
                <w:sz w:val="16"/>
                <w:szCs w:val="16"/>
              </w:rPr>
              <w:t>,783</w:t>
            </w:r>
          </w:p>
        </w:tc>
        <w:tc>
          <w:tcPr>
            <w:tcW w:w="275"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16"/>
                <w:szCs w:val="16"/>
              </w:rPr>
            </w:pPr>
            <w:r w:rsidRPr="004D23F5">
              <w:rPr>
                <w:rFonts w:ascii="Book Antiqua" w:hAnsi="Book Antiqua" w:cstheme="minorHAnsi"/>
                <w:sz w:val="16"/>
                <w:szCs w:val="16"/>
              </w:rPr>
              <w:t>1</w:t>
            </w:r>
          </w:p>
        </w:tc>
        <w:tc>
          <w:tcPr>
            <w:cnfStyle w:val="000010000000" w:firstRow="0" w:lastRow="0" w:firstColumn="0" w:lastColumn="0" w:oddVBand="1" w:evenVBand="0" w:oddHBand="0" w:evenHBand="0" w:firstRowFirstColumn="0" w:firstRowLastColumn="0" w:lastRowFirstColumn="0" w:lastRowLastColumn="0"/>
            <w:tcW w:w="419"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rPr>
                <w:rFonts w:ascii="Book Antiqua" w:hAnsi="Book Antiqua" w:cstheme="minorHAnsi"/>
                <w:sz w:val="16"/>
                <w:szCs w:val="16"/>
              </w:rPr>
            </w:pPr>
            <w:r w:rsidRPr="004D23F5">
              <w:rPr>
                <w:rFonts w:ascii="Book Antiqua" w:hAnsi="Book Antiqua" w:cstheme="minorHAnsi"/>
                <w:sz w:val="16"/>
                <w:szCs w:val="16"/>
              </w:rPr>
              <w:t>,376</w:t>
            </w:r>
          </w:p>
        </w:tc>
        <w:tc>
          <w:tcPr>
            <w:tcW w:w="682"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16"/>
                <w:szCs w:val="16"/>
              </w:rPr>
            </w:pPr>
            <w:r w:rsidRPr="004D23F5">
              <w:rPr>
                <w:rFonts w:ascii="Book Antiqua" w:hAnsi="Book Antiqua" w:cstheme="minorHAnsi"/>
                <w:sz w:val="16"/>
                <w:szCs w:val="16"/>
              </w:rPr>
              <w:t>-,151</w:t>
            </w:r>
          </w:p>
        </w:tc>
        <w:tc>
          <w:tcPr>
            <w:cnfStyle w:val="000010000000" w:firstRow="0" w:lastRow="0" w:firstColumn="0" w:lastColumn="0" w:oddVBand="1" w:evenVBand="0" w:oddHBand="0" w:evenHBand="0" w:firstRowFirstColumn="0" w:firstRowLastColumn="0" w:lastRowFirstColumn="0" w:lastRowLastColumn="0"/>
            <w:tcW w:w="749" w:type="pct"/>
            <w:tcBorders>
              <w:top w:val="single" w:sz="2" w:space="0" w:color="auto"/>
              <w:left w:val="single" w:sz="2" w:space="0" w:color="auto"/>
              <w:bottom w:val="single" w:sz="2" w:space="0" w:color="auto"/>
              <w:right w:val="single" w:sz="2" w:space="0" w:color="auto"/>
            </w:tcBorders>
          </w:tcPr>
          <w:p w:rsidR="00C30601" w:rsidRPr="004D23F5" w:rsidRDefault="00C30601" w:rsidP="005B6F52">
            <w:pPr>
              <w:autoSpaceDE w:val="0"/>
              <w:autoSpaceDN w:val="0"/>
              <w:adjustRightInd w:val="0"/>
              <w:ind w:left="60" w:right="60"/>
              <w:jc w:val="center"/>
              <w:rPr>
                <w:rFonts w:ascii="Book Antiqua" w:hAnsi="Book Antiqua" w:cstheme="minorHAnsi"/>
                <w:sz w:val="16"/>
                <w:szCs w:val="16"/>
              </w:rPr>
            </w:pPr>
            <w:r w:rsidRPr="004D23F5">
              <w:rPr>
                <w:rFonts w:ascii="Book Antiqua" w:hAnsi="Book Antiqua" w:cstheme="minorHAnsi"/>
                <w:sz w:val="16"/>
                <w:szCs w:val="16"/>
              </w:rPr>
              <w:t>,399</w:t>
            </w:r>
          </w:p>
        </w:tc>
        <w:tc>
          <w:tcPr>
            <w:tcW w:w="506" w:type="pct"/>
            <w:tcBorders>
              <w:top w:val="single" w:sz="2" w:space="0" w:color="auto"/>
              <w:left w:val="single" w:sz="2" w:space="0" w:color="auto"/>
              <w:bottom w:val="single" w:sz="2" w:space="0" w:color="auto"/>
              <w:right w:val="nil"/>
            </w:tcBorders>
          </w:tcPr>
          <w:p w:rsidR="00C30601" w:rsidRPr="004D23F5" w:rsidRDefault="00C30601" w:rsidP="005B6F52">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16"/>
                <w:szCs w:val="16"/>
              </w:rPr>
            </w:pPr>
            <w:r w:rsidRPr="004D23F5">
              <w:rPr>
                <w:rFonts w:ascii="Book Antiqua" w:hAnsi="Book Antiqua" w:cstheme="minorHAnsi"/>
                <w:sz w:val="16"/>
                <w:szCs w:val="16"/>
              </w:rPr>
              <w:t>+</w:t>
            </w:r>
          </w:p>
        </w:tc>
      </w:tr>
    </w:tbl>
    <w:p w:rsidR="003340CC" w:rsidRPr="003340CC" w:rsidRDefault="003340CC" w:rsidP="003340CC">
      <w:pPr>
        <w:tabs>
          <w:tab w:val="left" w:pos="567"/>
        </w:tabs>
        <w:spacing w:after="0" w:line="240" w:lineRule="auto"/>
        <w:jc w:val="both"/>
        <w:rPr>
          <w:rFonts w:ascii="Cambria" w:eastAsia="Cambria" w:hAnsi="Cambria" w:cs="Cambria"/>
          <w:sz w:val="20"/>
          <w:szCs w:val="20"/>
        </w:rPr>
      </w:pPr>
      <w:r w:rsidRPr="003340CC">
        <w:rPr>
          <w:rFonts w:ascii="Cambria" w:eastAsia="Cambria" w:hAnsi="Cambria" w:cs="Cambria"/>
          <w:sz w:val="20"/>
          <w:szCs w:val="20"/>
        </w:rPr>
        <w:t xml:space="preserve">Source: SPSS 25 processed data </w:t>
      </w:r>
    </w:p>
    <w:p w:rsidR="003340CC" w:rsidRPr="003340CC" w:rsidRDefault="003340CC" w:rsidP="003340CC">
      <w:pPr>
        <w:tabs>
          <w:tab w:val="left" w:pos="567"/>
        </w:tabs>
        <w:spacing w:after="0" w:line="240" w:lineRule="auto"/>
        <w:jc w:val="both"/>
        <w:rPr>
          <w:rFonts w:ascii="Cambria" w:eastAsia="Cambria" w:hAnsi="Cambria" w:cs="Cambria"/>
          <w:sz w:val="20"/>
          <w:szCs w:val="20"/>
        </w:rPr>
      </w:pPr>
      <w:r w:rsidRPr="003340CC">
        <w:rPr>
          <w:rFonts w:ascii="Cambria" w:eastAsia="Cambria" w:hAnsi="Cambria" w:cs="Cambria"/>
          <w:sz w:val="20"/>
          <w:szCs w:val="20"/>
        </w:rPr>
        <w:t xml:space="preserve"> </w:t>
      </w:r>
    </w:p>
    <w:p w:rsidR="003340CC" w:rsidRPr="003340CC" w:rsidRDefault="003340CC" w:rsidP="00C30601">
      <w:pPr>
        <w:tabs>
          <w:tab w:val="left" w:pos="567"/>
        </w:tabs>
        <w:spacing w:after="0" w:line="240" w:lineRule="auto"/>
        <w:ind w:firstLine="284"/>
        <w:jc w:val="both"/>
        <w:rPr>
          <w:rFonts w:ascii="Cambria" w:eastAsia="Cambria" w:hAnsi="Cambria" w:cs="Cambria"/>
          <w:sz w:val="20"/>
          <w:szCs w:val="20"/>
        </w:rPr>
      </w:pPr>
      <w:r w:rsidRPr="003340CC">
        <w:rPr>
          <w:rFonts w:ascii="Cambria" w:eastAsia="Cambria" w:hAnsi="Cambria" w:cs="Cambria"/>
          <w:sz w:val="20"/>
          <w:szCs w:val="20"/>
        </w:rPr>
        <w:t xml:space="preserve">The first hypothesis is rejected because state ownership has an insignificant positive effect on audit quality. Ideally in a democratic country, the government would want to maintain its image by using the best auditor services to prove its performance. It </w:t>
      </w:r>
      <w:r w:rsidR="008B57B2">
        <w:rPr>
          <w:rFonts w:ascii="Cambria" w:eastAsia="Cambria" w:hAnsi="Cambria" w:cs="Cambria"/>
          <w:sz w:val="20"/>
          <w:szCs w:val="20"/>
        </w:rPr>
        <w:t>i</w:t>
      </w:r>
      <w:r w:rsidRPr="003340CC">
        <w:rPr>
          <w:rFonts w:ascii="Cambria" w:eastAsia="Cambria" w:hAnsi="Cambria" w:cs="Cambria"/>
          <w:sz w:val="20"/>
          <w:szCs w:val="20"/>
        </w:rPr>
        <w:t>s according to Rudyanto, Daniswari, &amp; Oktaviani (2017), audit quality in Indonesia is not determined by company reputation or auditor ability. So the government does not always use the big-4 and rotates it to other auditors.</w:t>
      </w:r>
    </w:p>
    <w:p w:rsidR="003340CC" w:rsidRPr="003340CC" w:rsidRDefault="003340CC" w:rsidP="00C30601">
      <w:pPr>
        <w:tabs>
          <w:tab w:val="left" w:pos="567"/>
        </w:tabs>
        <w:spacing w:after="0" w:line="240" w:lineRule="auto"/>
        <w:ind w:firstLine="284"/>
        <w:jc w:val="both"/>
        <w:rPr>
          <w:rFonts w:ascii="Cambria" w:eastAsia="Cambria" w:hAnsi="Cambria" w:cs="Cambria"/>
          <w:sz w:val="20"/>
          <w:szCs w:val="20"/>
        </w:rPr>
      </w:pPr>
      <w:r w:rsidRPr="003340CC">
        <w:rPr>
          <w:rFonts w:ascii="Cambria" w:eastAsia="Cambria" w:hAnsi="Cambria" w:cs="Cambria"/>
          <w:sz w:val="20"/>
          <w:szCs w:val="20"/>
        </w:rPr>
        <w:t>The second hypothesis is rejected because ownership concentration has an insignificant negative effect on audit quality. This corroborates the research previously by Zureigat (2011) and Alzeaideen &amp; Al- Rawash (2018). According to the two studies, ownership concentration has an insignificant effect on audit quality because the majority of businesses in Jordan are family firms. By nature, the nature of ownership is concentrated in the Indonesian state which is also dominated by family companies. About 70% of banks in Indonesia that have a family shareholding structure usually place directors or commissioners in the bank.</w:t>
      </w:r>
    </w:p>
    <w:p w:rsidR="003340CC" w:rsidRPr="003340CC" w:rsidRDefault="003340CC" w:rsidP="00C30601">
      <w:pPr>
        <w:tabs>
          <w:tab w:val="left" w:pos="567"/>
        </w:tabs>
        <w:spacing w:after="0" w:line="240" w:lineRule="auto"/>
        <w:ind w:firstLine="284"/>
        <w:jc w:val="both"/>
        <w:rPr>
          <w:rFonts w:ascii="Cambria" w:eastAsia="Cambria" w:hAnsi="Cambria" w:cs="Cambria"/>
          <w:sz w:val="20"/>
          <w:szCs w:val="20"/>
        </w:rPr>
      </w:pPr>
      <w:r w:rsidRPr="003340CC">
        <w:rPr>
          <w:rFonts w:ascii="Cambria" w:eastAsia="Cambria" w:hAnsi="Cambria" w:cs="Cambria"/>
          <w:sz w:val="20"/>
          <w:szCs w:val="20"/>
        </w:rPr>
        <w:t>The third hypothesis is an additional analysis performed by the researcher. Researchers replaced the variable ownership concentration (OC) with blockholder ownership (BO). All results from the additional analysis are consistent with the main research, namely blockholder ownership has no significant effect on audit quality.</w:t>
      </w:r>
    </w:p>
    <w:p w:rsidR="0094578E" w:rsidRDefault="003340CC" w:rsidP="00C30601">
      <w:pPr>
        <w:tabs>
          <w:tab w:val="left" w:pos="567"/>
        </w:tabs>
        <w:spacing w:after="0" w:line="240" w:lineRule="auto"/>
        <w:ind w:firstLine="284"/>
        <w:jc w:val="both"/>
        <w:rPr>
          <w:rFonts w:ascii="Cambria" w:eastAsia="Cambria" w:hAnsi="Cambria" w:cs="Cambria"/>
          <w:sz w:val="20"/>
          <w:szCs w:val="20"/>
        </w:rPr>
      </w:pPr>
      <w:r w:rsidRPr="003340CC">
        <w:rPr>
          <w:rFonts w:ascii="Cambria" w:eastAsia="Cambria" w:hAnsi="Cambria" w:cs="Cambria"/>
          <w:sz w:val="20"/>
          <w:szCs w:val="20"/>
        </w:rPr>
        <w:t>According to Hartadi (2009) auditor reputation has no effect on audit quality, there are 2 possibilities. The first possibility is caused by the reluctance of market participants to explore further whether the auditor who issued an opinion on the audited financial statements has actually experienced rotation or not. The second possibility is that market participants also never pay attention to whether the financial statements have been examined by auditors who have a certain reputation or not. Basically, most market players in Indonesia only consider capital gains. Only a few are willing to do fundamental analysis as a consideration for buying or selling stocks. If the market does not give significant consideration to fundamental analysis, in fact it can be said that the market pays little attention to the auditor's opinion</w:t>
      </w:r>
      <w:r>
        <w:rPr>
          <w:rFonts w:ascii="Cambria" w:eastAsia="Cambria" w:hAnsi="Cambria" w:cs="Cambria"/>
          <w:sz w:val="20"/>
          <w:szCs w:val="20"/>
        </w:rPr>
        <w:t>.</w:t>
      </w:r>
    </w:p>
    <w:p w:rsidR="0094578E" w:rsidRDefault="0094578E">
      <w:pPr>
        <w:spacing w:after="0"/>
        <w:jc w:val="center"/>
        <w:rPr>
          <w:rFonts w:ascii="Cambria" w:eastAsia="Cambria" w:hAnsi="Cambria" w:cs="Cambria"/>
          <w:b/>
          <w:sz w:val="20"/>
          <w:szCs w:val="20"/>
        </w:rPr>
      </w:pPr>
    </w:p>
    <w:p w:rsidR="0094578E" w:rsidRDefault="00000000">
      <w:pPr>
        <w:widowControl w:val="0"/>
        <w:numPr>
          <w:ilvl w:val="0"/>
          <w:numId w:val="1"/>
        </w:numPr>
        <w:pBdr>
          <w:top w:val="nil"/>
          <w:left w:val="nil"/>
          <w:bottom w:val="nil"/>
          <w:right w:val="nil"/>
          <w:between w:val="nil"/>
        </w:pBdr>
        <w:tabs>
          <w:tab w:val="left" w:pos="567"/>
        </w:tabs>
        <w:spacing w:after="0" w:line="240" w:lineRule="auto"/>
        <w:ind w:hanging="720"/>
        <w:jc w:val="both"/>
        <w:rPr>
          <w:rFonts w:ascii="Cambria" w:eastAsia="Cambria" w:hAnsi="Cambria" w:cs="Cambria"/>
          <w:color w:val="FF0000"/>
        </w:rPr>
      </w:pPr>
      <w:r>
        <w:rPr>
          <w:rFonts w:ascii="Cambria" w:eastAsia="Cambria" w:hAnsi="Cambria" w:cs="Cambria"/>
          <w:b/>
          <w:color w:val="000000"/>
        </w:rPr>
        <w:t>CON</w:t>
      </w:r>
      <w:r w:rsidR="008B57B2">
        <w:rPr>
          <w:rFonts w:ascii="Cambria" w:eastAsia="Cambria" w:hAnsi="Cambria" w:cs="Cambria"/>
          <w:b/>
          <w:color w:val="000000"/>
        </w:rPr>
        <w:t>C</w:t>
      </w:r>
      <w:r>
        <w:rPr>
          <w:rFonts w:ascii="Cambria" w:eastAsia="Cambria" w:hAnsi="Cambria" w:cs="Cambria"/>
          <w:b/>
          <w:color w:val="000000"/>
        </w:rPr>
        <w:t>LUSION</w:t>
      </w:r>
      <w:r>
        <w:rPr>
          <w:rFonts w:ascii="Cambria" w:eastAsia="Cambria" w:hAnsi="Cambria" w:cs="Cambria"/>
          <w:b/>
          <w:color w:val="000000"/>
          <w:sz w:val="20"/>
          <w:szCs w:val="20"/>
        </w:rPr>
        <w:t xml:space="preserve"> </w:t>
      </w:r>
    </w:p>
    <w:p w:rsidR="003340CC" w:rsidRPr="003340CC" w:rsidRDefault="00000000" w:rsidP="003340CC">
      <w:pPr>
        <w:tabs>
          <w:tab w:val="left" w:pos="567"/>
        </w:tabs>
        <w:spacing w:after="0"/>
        <w:jc w:val="both"/>
        <w:rPr>
          <w:rFonts w:ascii="Cambria" w:eastAsia="Cambria" w:hAnsi="Cambria" w:cs="Cambria"/>
          <w:sz w:val="20"/>
          <w:szCs w:val="20"/>
        </w:rPr>
      </w:pPr>
      <w:r>
        <w:rPr>
          <w:rFonts w:ascii="Cambria" w:eastAsia="Cambria" w:hAnsi="Cambria" w:cs="Cambria"/>
          <w:sz w:val="20"/>
          <w:szCs w:val="20"/>
        </w:rPr>
        <w:tab/>
      </w:r>
      <w:r w:rsidR="003340CC" w:rsidRPr="003340CC">
        <w:rPr>
          <w:rFonts w:ascii="Cambria" w:eastAsia="Cambria" w:hAnsi="Cambria" w:cs="Cambria"/>
          <w:sz w:val="20"/>
          <w:szCs w:val="20"/>
        </w:rPr>
        <w:t>The purpose of this research is to find the effect of states ownership structure and ownership concentration on audit quality. The research is focused on banking and takes samples from 2010-2018. The results of this study found that state ownership has an insignificant effect on audit quality. Ownership concentration also has no significant effect on audit quality. These results are robust with additional analysis using blockholder ownership variables. This is because the reputation of the auditor in Indonesia is not too influential</w:t>
      </w:r>
    </w:p>
    <w:p w:rsidR="003340CC" w:rsidRPr="003340CC" w:rsidRDefault="003340CC" w:rsidP="003340CC">
      <w:pPr>
        <w:tabs>
          <w:tab w:val="left" w:pos="567"/>
        </w:tabs>
        <w:spacing w:after="0"/>
        <w:jc w:val="both"/>
        <w:rPr>
          <w:rFonts w:ascii="Cambria" w:eastAsia="Cambria" w:hAnsi="Cambria" w:cs="Cambria"/>
          <w:sz w:val="20"/>
          <w:szCs w:val="20"/>
        </w:rPr>
      </w:pPr>
    </w:p>
    <w:p w:rsidR="003340CC" w:rsidRPr="00C30601" w:rsidRDefault="003340CC" w:rsidP="003340CC">
      <w:pPr>
        <w:tabs>
          <w:tab w:val="left" w:pos="567"/>
        </w:tabs>
        <w:spacing w:after="0"/>
        <w:jc w:val="both"/>
        <w:rPr>
          <w:rFonts w:ascii="Cambria" w:eastAsia="Cambria" w:hAnsi="Cambria" w:cs="Cambria"/>
          <w:b/>
          <w:bCs/>
          <w:sz w:val="20"/>
          <w:szCs w:val="20"/>
        </w:rPr>
      </w:pPr>
      <w:r w:rsidRPr="00C30601">
        <w:rPr>
          <w:rFonts w:ascii="Cambria" w:eastAsia="Cambria" w:hAnsi="Cambria" w:cs="Cambria"/>
          <w:b/>
          <w:bCs/>
          <w:sz w:val="20"/>
          <w:szCs w:val="20"/>
        </w:rPr>
        <w:t>Limitations and Suggestions</w:t>
      </w:r>
    </w:p>
    <w:p w:rsidR="003340CC" w:rsidRPr="003340CC" w:rsidRDefault="003340CC" w:rsidP="003340CC">
      <w:pPr>
        <w:tabs>
          <w:tab w:val="left" w:pos="567"/>
        </w:tabs>
        <w:spacing w:after="0"/>
        <w:jc w:val="both"/>
        <w:rPr>
          <w:rFonts w:ascii="Cambria" w:eastAsia="Cambria" w:hAnsi="Cambria" w:cs="Cambria"/>
          <w:sz w:val="20"/>
          <w:szCs w:val="20"/>
        </w:rPr>
      </w:pPr>
      <w:r w:rsidRPr="003340CC">
        <w:rPr>
          <w:rFonts w:ascii="Cambria" w:eastAsia="Cambria" w:hAnsi="Cambria" w:cs="Cambria"/>
          <w:sz w:val="20"/>
          <w:szCs w:val="20"/>
        </w:rPr>
        <w:t>This research has several limitations, namely:</w:t>
      </w:r>
    </w:p>
    <w:p w:rsidR="003340CC" w:rsidRPr="003340CC" w:rsidRDefault="003340CC" w:rsidP="003340CC">
      <w:pPr>
        <w:pStyle w:val="ListParagraph"/>
        <w:numPr>
          <w:ilvl w:val="3"/>
          <w:numId w:val="2"/>
        </w:numPr>
        <w:spacing w:after="0"/>
        <w:ind w:left="284" w:hanging="284"/>
        <w:jc w:val="both"/>
        <w:rPr>
          <w:rFonts w:ascii="Cambria" w:eastAsia="Cambria" w:hAnsi="Cambria" w:cs="Cambria"/>
          <w:sz w:val="20"/>
          <w:szCs w:val="20"/>
        </w:rPr>
      </w:pPr>
      <w:r w:rsidRPr="003340CC">
        <w:rPr>
          <w:rFonts w:ascii="Cambria" w:eastAsia="Cambria" w:hAnsi="Cambria" w:cs="Cambria"/>
          <w:sz w:val="20"/>
          <w:szCs w:val="20"/>
        </w:rPr>
        <w:t xml:space="preserve">The sample of the study is a bank listed on the Indonesia Stock Exchange (IDX). Banks listed on the IDX must go through stricter regulations than other banks. So it could be that the representation chosen is </w:t>
      </w:r>
      <w:r w:rsidRPr="003340CC">
        <w:rPr>
          <w:rFonts w:ascii="Cambria" w:eastAsia="Cambria" w:hAnsi="Cambria" w:cs="Cambria"/>
          <w:sz w:val="20"/>
          <w:szCs w:val="20"/>
        </w:rPr>
        <w:lastRenderedPageBreak/>
        <w:t>too ideal compared to other banks in Indonesia. The audit quality of banks other than the IDX is of course lower than those listed on the IDX. Subsequent research can add banks other than those listed on the IDX so that the results are more general and describe the banking conditions in Indonesia.</w:t>
      </w:r>
    </w:p>
    <w:p w:rsidR="003340CC" w:rsidRPr="003340CC" w:rsidRDefault="003340CC" w:rsidP="003340CC">
      <w:pPr>
        <w:pStyle w:val="ListParagraph"/>
        <w:numPr>
          <w:ilvl w:val="3"/>
          <w:numId w:val="2"/>
        </w:numPr>
        <w:spacing w:after="0"/>
        <w:ind w:left="284" w:hanging="284"/>
        <w:jc w:val="both"/>
        <w:rPr>
          <w:rFonts w:ascii="Cambria" w:eastAsia="Cambria" w:hAnsi="Cambria" w:cs="Cambria"/>
          <w:sz w:val="20"/>
          <w:szCs w:val="20"/>
        </w:rPr>
      </w:pPr>
      <w:r w:rsidRPr="003340CC">
        <w:rPr>
          <w:rFonts w:ascii="Cambria" w:eastAsia="Cambria" w:hAnsi="Cambria" w:cs="Cambria"/>
          <w:sz w:val="20"/>
          <w:szCs w:val="20"/>
        </w:rPr>
        <w:t>Researchers use secondary data, so it cannot be ascertained the correctness of the data obtained from the bank. Subsequent researchers can add alternative primary data such as distributing questionnaires or observations to banks to complete the data.</w:t>
      </w:r>
    </w:p>
    <w:p w:rsidR="0094578E" w:rsidRPr="003340CC" w:rsidRDefault="003340CC" w:rsidP="003340CC">
      <w:pPr>
        <w:pStyle w:val="ListParagraph"/>
        <w:numPr>
          <w:ilvl w:val="3"/>
          <w:numId w:val="2"/>
        </w:numPr>
        <w:spacing w:after="0"/>
        <w:ind w:left="284" w:hanging="284"/>
        <w:jc w:val="both"/>
        <w:rPr>
          <w:rFonts w:ascii="Cambria" w:eastAsia="Cambria" w:hAnsi="Cambria" w:cs="Cambria"/>
          <w:sz w:val="20"/>
          <w:szCs w:val="20"/>
        </w:rPr>
      </w:pPr>
      <w:r w:rsidRPr="003340CC">
        <w:rPr>
          <w:rFonts w:ascii="Cambria" w:eastAsia="Cambria" w:hAnsi="Cambria" w:cs="Cambria"/>
          <w:sz w:val="20"/>
          <w:szCs w:val="20"/>
        </w:rPr>
        <w:t>Audit quality is difficult to measure because the level of assurance provided by the auditor cannot be observed.</w:t>
      </w:r>
    </w:p>
    <w:p w:rsidR="0094578E" w:rsidRDefault="0094578E">
      <w:pPr>
        <w:tabs>
          <w:tab w:val="left" w:pos="567"/>
        </w:tabs>
        <w:spacing w:after="0"/>
        <w:jc w:val="both"/>
        <w:rPr>
          <w:rFonts w:ascii="Cambria" w:eastAsia="Cambria" w:hAnsi="Cambria" w:cs="Cambria"/>
          <w:sz w:val="20"/>
          <w:szCs w:val="20"/>
        </w:rPr>
      </w:pPr>
    </w:p>
    <w:p w:rsidR="0094578E" w:rsidRDefault="00000000">
      <w:pPr>
        <w:spacing w:after="0"/>
        <w:jc w:val="center"/>
        <w:rPr>
          <w:rFonts w:ascii="Cambria" w:eastAsia="Cambria" w:hAnsi="Cambria" w:cs="Cambria"/>
          <w:b/>
          <w:sz w:val="20"/>
          <w:szCs w:val="20"/>
        </w:rPr>
      </w:pPr>
      <w:r>
        <w:rPr>
          <w:rFonts w:ascii="Cambria" w:eastAsia="Cambria" w:hAnsi="Cambria" w:cs="Cambria"/>
          <w:b/>
          <w:sz w:val="20"/>
          <w:szCs w:val="20"/>
        </w:rPr>
        <w:t xml:space="preserve">REFERENCES </w:t>
      </w:r>
    </w:p>
    <w:p w:rsidR="0094578E" w:rsidRDefault="0094578E">
      <w:pPr>
        <w:spacing w:after="0"/>
        <w:jc w:val="center"/>
        <w:rPr>
          <w:rFonts w:ascii="Cambria" w:eastAsia="Cambria" w:hAnsi="Cambria" w:cs="Cambria"/>
          <w:b/>
          <w:sz w:val="20"/>
          <w:szCs w:val="20"/>
        </w:rPr>
      </w:pPr>
    </w:p>
    <w:p w:rsidR="00C30601" w:rsidRPr="00C30601" w:rsidRDefault="00C30601" w:rsidP="00C30601">
      <w:pPr>
        <w:widowControl w:val="0"/>
        <w:spacing w:after="0" w:line="240" w:lineRule="auto"/>
        <w:ind w:left="640" w:hanging="640"/>
        <w:jc w:val="both"/>
        <w:rPr>
          <w:rFonts w:ascii="Cambria" w:eastAsia="Cambria" w:hAnsi="Cambria" w:cs="Cambria"/>
          <w:sz w:val="20"/>
          <w:szCs w:val="20"/>
        </w:rPr>
      </w:pPr>
      <w:r w:rsidRPr="00C30601">
        <w:rPr>
          <w:rFonts w:ascii="Cambria" w:eastAsia="Cambria" w:hAnsi="Cambria" w:cs="Cambria"/>
          <w:sz w:val="20"/>
          <w:szCs w:val="20"/>
        </w:rPr>
        <w:t>Abdullah, W., Ismail, S., &amp; Jamaluddin, N. (2008). The Impact of Board Composition, Ownership and CEO duality on audit quality: The Malaysian evidence. Malaysian Accounting Review, 7(2).</w:t>
      </w:r>
    </w:p>
    <w:p w:rsidR="00C30601" w:rsidRPr="00C30601" w:rsidRDefault="00C30601" w:rsidP="00C30601">
      <w:pPr>
        <w:widowControl w:val="0"/>
        <w:spacing w:after="0" w:line="240" w:lineRule="auto"/>
        <w:ind w:left="640" w:hanging="640"/>
        <w:jc w:val="both"/>
        <w:rPr>
          <w:rFonts w:ascii="Cambria" w:eastAsia="Cambria" w:hAnsi="Cambria" w:cs="Cambria"/>
          <w:sz w:val="20"/>
          <w:szCs w:val="20"/>
        </w:rPr>
      </w:pPr>
      <w:r w:rsidRPr="00C30601">
        <w:rPr>
          <w:rFonts w:ascii="Cambria" w:eastAsia="Cambria" w:hAnsi="Cambria" w:cs="Cambria"/>
          <w:sz w:val="20"/>
          <w:szCs w:val="20"/>
        </w:rPr>
        <w:t>Alzeaideen, K. A., &amp; Al-Rawash, S. Z. (2018). The Effect of Ownership Structure on Audit Quality: Evidence from Jordan. International Journal of Economics and Financial, 8(3), 51–58.</w:t>
      </w:r>
    </w:p>
    <w:p w:rsidR="00C30601" w:rsidRPr="00C30601" w:rsidRDefault="00C30601" w:rsidP="00C30601">
      <w:pPr>
        <w:widowControl w:val="0"/>
        <w:spacing w:after="0" w:line="240" w:lineRule="auto"/>
        <w:ind w:left="640" w:hanging="640"/>
        <w:jc w:val="both"/>
        <w:rPr>
          <w:rFonts w:ascii="Cambria" w:eastAsia="Cambria" w:hAnsi="Cambria" w:cs="Cambria"/>
          <w:sz w:val="20"/>
          <w:szCs w:val="20"/>
        </w:rPr>
      </w:pPr>
      <w:r w:rsidRPr="00C30601">
        <w:rPr>
          <w:rFonts w:ascii="Cambria" w:eastAsia="Cambria" w:hAnsi="Cambria" w:cs="Cambria"/>
          <w:sz w:val="20"/>
          <w:szCs w:val="20"/>
        </w:rPr>
        <w:t>Ariesanti, D. D. (2015). Pengaruh Mekanisme Good Corporate Governance dan Financial Distress Terhadap Manajemen Laba (Studi Kasus Pada Perusahaan Perbankan Yang Terdaftar Di Bursa Efek Indonesia Periode 2009-2014). Jurnal Akuntansi AKUNESA, 3(2). Retrieved from https://jurnalmahasiswa.unesa.ac.id/index.php/jurnal-akuntansi/article/view/12986/11965</w:t>
      </w:r>
    </w:p>
    <w:p w:rsidR="00C30601" w:rsidRPr="00C30601" w:rsidRDefault="00C30601" w:rsidP="00C30601">
      <w:pPr>
        <w:widowControl w:val="0"/>
        <w:spacing w:after="0" w:line="240" w:lineRule="auto"/>
        <w:ind w:left="640" w:hanging="640"/>
        <w:jc w:val="both"/>
        <w:rPr>
          <w:rFonts w:ascii="Cambria" w:eastAsia="Cambria" w:hAnsi="Cambria" w:cs="Cambria"/>
          <w:sz w:val="20"/>
          <w:szCs w:val="20"/>
        </w:rPr>
      </w:pPr>
      <w:r w:rsidRPr="00C30601">
        <w:rPr>
          <w:rFonts w:ascii="Cambria" w:eastAsia="Cambria" w:hAnsi="Cambria" w:cs="Cambria"/>
          <w:sz w:val="20"/>
          <w:szCs w:val="20"/>
        </w:rPr>
        <w:t>Ayem, S., &amp; Yuliana, D. (2019). Pengaruh Independensi Auditor, Kualitas Audit, Manajemen Laba, dan Komisaris Independen Terhadap Integritas Laporan Keuangan (Studi Kasus Pada Perusahaan Perbankan Yang Terdaftar di BEI Periode 2014-2017). Jurnal Akuntansi &amp; Manajemen Akmenika Vol. 16 No. 1 Tahun 2019, 16(1), 197–207.</w:t>
      </w:r>
    </w:p>
    <w:p w:rsidR="00C30601" w:rsidRPr="00C30601" w:rsidRDefault="00C30601" w:rsidP="00C30601">
      <w:pPr>
        <w:widowControl w:val="0"/>
        <w:spacing w:after="0" w:line="240" w:lineRule="auto"/>
        <w:ind w:left="640" w:hanging="640"/>
        <w:jc w:val="both"/>
        <w:rPr>
          <w:rFonts w:ascii="Cambria" w:eastAsia="Cambria" w:hAnsi="Cambria" w:cs="Cambria"/>
          <w:sz w:val="20"/>
          <w:szCs w:val="20"/>
        </w:rPr>
      </w:pPr>
      <w:r w:rsidRPr="00C30601">
        <w:rPr>
          <w:rFonts w:ascii="Cambria" w:eastAsia="Cambria" w:hAnsi="Cambria" w:cs="Cambria"/>
          <w:sz w:val="20"/>
          <w:szCs w:val="20"/>
        </w:rPr>
        <w:t>Chen, C. L., Yen, G., Fu, C. J., &amp; Chang, F. H. (2007). Family control, auditor independence, and audit quality: Empirical evidence from the TSE-listed firms (1999-2002). Corporate Ownership and Control, 4(3 A), 96–110.</w:t>
      </w:r>
    </w:p>
    <w:p w:rsidR="00C30601" w:rsidRPr="00C30601" w:rsidRDefault="00C30601" w:rsidP="00C30601">
      <w:pPr>
        <w:widowControl w:val="0"/>
        <w:spacing w:after="0" w:line="240" w:lineRule="auto"/>
        <w:ind w:left="640" w:hanging="640"/>
        <w:jc w:val="both"/>
        <w:rPr>
          <w:rFonts w:ascii="Cambria" w:eastAsia="Cambria" w:hAnsi="Cambria" w:cs="Cambria"/>
          <w:sz w:val="20"/>
          <w:szCs w:val="20"/>
        </w:rPr>
      </w:pPr>
      <w:r w:rsidRPr="00C30601">
        <w:rPr>
          <w:rFonts w:ascii="Cambria" w:eastAsia="Cambria" w:hAnsi="Cambria" w:cs="Cambria"/>
          <w:sz w:val="20"/>
          <w:szCs w:val="20"/>
        </w:rPr>
        <w:t>Dantas, J. A., &amp; De Medeiros, O. R. (2015). Quality determinants of independent audits of banks. Revista Contabilidade e Financas, 26(67), 43–56.</w:t>
      </w:r>
    </w:p>
    <w:p w:rsidR="00C30601" w:rsidRPr="00C30601" w:rsidRDefault="00C30601" w:rsidP="00C30601">
      <w:pPr>
        <w:widowControl w:val="0"/>
        <w:spacing w:after="0" w:line="240" w:lineRule="auto"/>
        <w:ind w:left="640" w:hanging="640"/>
        <w:jc w:val="both"/>
        <w:rPr>
          <w:rFonts w:ascii="Cambria" w:eastAsia="Cambria" w:hAnsi="Cambria" w:cs="Cambria"/>
          <w:sz w:val="20"/>
          <w:szCs w:val="20"/>
        </w:rPr>
      </w:pPr>
      <w:r w:rsidRPr="00C30601">
        <w:rPr>
          <w:rFonts w:ascii="Cambria" w:eastAsia="Cambria" w:hAnsi="Cambria" w:cs="Cambria"/>
          <w:sz w:val="20"/>
          <w:szCs w:val="20"/>
        </w:rPr>
        <w:t>Dewi, L. E., Herawati, N. T., &amp; Sulindawati, L. G. E. (2015). Analisis Pengaruh NIM, BOPO, LDR, Dan NPL Terhadap Profitabilitas (Studi Kasus Pada Bank Umum Swasta Nasional Yang Terdaftar Pada Bursa Efek Indonesia Periode 2009-2013 ). e-Journal S1 Ak. Universitas Pendidikan Ganesha Jurusan Akuntansi Program S1, 3(5).</w:t>
      </w:r>
    </w:p>
    <w:p w:rsidR="00C30601" w:rsidRPr="00C30601" w:rsidRDefault="00C30601" w:rsidP="00C30601">
      <w:pPr>
        <w:widowControl w:val="0"/>
        <w:spacing w:after="0" w:line="240" w:lineRule="auto"/>
        <w:ind w:left="640" w:hanging="640"/>
        <w:jc w:val="both"/>
        <w:rPr>
          <w:rFonts w:ascii="Cambria" w:eastAsia="Cambria" w:hAnsi="Cambria" w:cs="Cambria"/>
          <w:sz w:val="20"/>
          <w:szCs w:val="20"/>
        </w:rPr>
      </w:pPr>
      <w:r w:rsidRPr="00C30601">
        <w:rPr>
          <w:rFonts w:ascii="Cambria" w:eastAsia="Cambria" w:hAnsi="Cambria" w:cs="Cambria"/>
          <w:sz w:val="20"/>
          <w:szCs w:val="20"/>
        </w:rPr>
        <w:t>Fiordelisi, F., &amp; Marqués-Ibañez, D. (2013). Is Bank Default Risk Systematic? Journal of Banking and Finance, 37(6), 2000–2010.</w:t>
      </w:r>
    </w:p>
    <w:p w:rsidR="00C30601" w:rsidRPr="00C30601" w:rsidRDefault="00C30601" w:rsidP="00C30601">
      <w:pPr>
        <w:widowControl w:val="0"/>
        <w:spacing w:after="0" w:line="240" w:lineRule="auto"/>
        <w:ind w:left="640" w:hanging="640"/>
        <w:jc w:val="both"/>
        <w:rPr>
          <w:rFonts w:ascii="Cambria" w:eastAsia="Cambria" w:hAnsi="Cambria" w:cs="Cambria"/>
          <w:sz w:val="20"/>
          <w:szCs w:val="20"/>
        </w:rPr>
      </w:pPr>
      <w:r w:rsidRPr="00C30601">
        <w:rPr>
          <w:rFonts w:ascii="Cambria" w:eastAsia="Cambria" w:hAnsi="Cambria" w:cs="Cambria"/>
          <w:sz w:val="20"/>
          <w:szCs w:val="20"/>
        </w:rPr>
        <w:t>Hartadi, B. (2009). PENGARUH FEE AUDIT, ROTASI KAP, DAN REPUTASI AUDITOR TERHADAP KUALITAS AUDIT DI BURSA EFEK INDONESIA. Ekuitas: Jurnal Ekonomi dan Keuangan.</w:t>
      </w:r>
    </w:p>
    <w:p w:rsidR="00C30601" w:rsidRPr="00C30601" w:rsidRDefault="00C30601" w:rsidP="00C30601">
      <w:pPr>
        <w:widowControl w:val="0"/>
        <w:spacing w:after="0" w:line="240" w:lineRule="auto"/>
        <w:ind w:left="640" w:hanging="640"/>
        <w:jc w:val="both"/>
        <w:rPr>
          <w:rFonts w:ascii="Cambria" w:eastAsia="Cambria" w:hAnsi="Cambria" w:cs="Cambria"/>
          <w:sz w:val="20"/>
          <w:szCs w:val="20"/>
        </w:rPr>
      </w:pPr>
      <w:r w:rsidRPr="00C30601">
        <w:rPr>
          <w:rFonts w:ascii="Cambria" w:eastAsia="Cambria" w:hAnsi="Cambria" w:cs="Cambria"/>
          <w:sz w:val="20"/>
          <w:szCs w:val="20"/>
        </w:rPr>
        <w:t>Hu, D., &amp; Zheng, H. (2015). Does Ownership Structure Affect The Degree of Corporate Financial Distress in China? Journal of Accounting in Emerging Economies, 5(1), 35–50.</w:t>
      </w:r>
    </w:p>
    <w:p w:rsidR="00C30601" w:rsidRPr="00C30601" w:rsidRDefault="00C30601" w:rsidP="00C30601">
      <w:pPr>
        <w:widowControl w:val="0"/>
        <w:spacing w:after="0" w:line="240" w:lineRule="auto"/>
        <w:ind w:left="640" w:hanging="640"/>
        <w:jc w:val="both"/>
        <w:rPr>
          <w:rFonts w:ascii="Cambria" w:eastAsia="Cambria" w:hAnsi="Cambria" w:cs="Cambria"/>
          <w:sz w:val="20"/>
          <w:szCs w:val="20"/>
        </w:rPr>
      </w:pPr>
      <w:r w:rsidRPr="00C30601">
        <w:rPr>
          <w:rFonts w:ascii="Cambria" w:eastAsia="Cambria" w:hAnsi="Cambria" w:cs="Cambria"/>
          <w:sz w:val="20"/>
          <w:szCs w:val="20"/>
        </w:rPr>
        <w:t>International Finance Corporation. (2018). Indonesia Corporate Governance Manual, Second Edition. International Finance Corporation. Jakarta.</w:t>
      </w:r>
    </w:p>
    <w:p w:rsidR="00C30601" w:rsidRPr="00C30601" w:rsidRDefault="00C30601" w:rsidP="00C30601">
      <w:pPr>
        <w:widowControl w:val="0"/>
        <w:spacing w:after="0" w:line="240" w:lineRule="auto"/>
        <w:ind w:left="640" w:hanging="640"/>
        <w:jc w:val="both"/>
        <w:rPr>
          <w:rFonts w:ascii="Cambria" w:eastAsia="Cambria" w:hAnsi="Cambria" w:cs="Cambria"/>
          <w:sz w:val="20"/>
          <w:szCs w:val="20"/>
        </w:rPr>
      </w:pPr>
      <w:r w:rsidRPr="00C30601">
        <w:rPr>
          <w:rFonts w:ascii="Cambria" w:eastAsia="Cambria" w:hAnsi="Cambria" w:cs="Cambria"/>
          <w:sz w:val="20"/>
          <w:szCs w:val="20"/>
        </w:rPr>
        <w:t>Kholis, N. (2014). Analisis Struktur Kepemilikan dan Perannya terhadap Praktik Manajemen Laba Perusahaan. ADDIN, 8(1), 203–222.</w:t>
      </w:r>
    </w:p>
    <w:p w:rsidR="00C30601" w:rsidRPr="00C30601" w:rsidRDefault="00C30601" w:rsidP="00C30601">
      <w:pPr>
        <w:widowControl w:val="0"/>
        <w:spacing w:after="0" w:line="240" w:lineRule="auto"/>
        <w:ind w:left="640" w:hanging="640"/>
        <w:jc w:val="both"/>
        <w:rPr>
          <w:rFonts w:ascii="Cambria" w:eastAsia="Cambria" w:hAnsi="Cambria" w:cs="Cambria"/>
          <w:sz w:val="20"/>
          <w:szCs w:val="20"/>
        </w:rPr>
      </w:pPr>
      <w:r w:rsidRPr="00C30601">
        <w:rPr>
          <w:rFonts w:ascii="Cambria" w:eastAsia="Cambria" w:hAnsi="Cambria" w:cs="Cambria"/>
          <w:sz w:val="20"/>
          <w:szCs w:val="20"/>
        </w:rPr>
        <w:t>Li, H., Wang, Z., &amp; Deng, X. (2015). Ownership , independent directors , agency costs and financial distress : evidence from Chinese listed companies. Corporate Governance: The international journal of business in society, 8(5), 622–636.</w:t>
      </w:r>
    </w:p>
    <w:p w:rsidR="00C30601" w:rsidRPr="00C30601" w:rsidRDefault="00C30601" w:rsidP="00C30601">
      <w:pPr>
        <w:widowControl w:val="0"/>
        <w:spacing w:after="0" w:line="240" w:lineRule="auto"/>
        <w:ind w:left="640" w:hanging="640"/>
        <w:jc w:val="both"/>
        <w:rPr>
          <w:rFonts w:ascii="Cambria" w:eastAsia="Cambria" w:hAnsi="Cambria" w:cs="Cambria"/>
          <w:sz w:val="20"/>
          <w:szCs w:val="20"/>
        </w:rPr>
      </w:pPr>
      <w:r w:rsidRPr="00C30601">
        <w:rPr>
          <w:rFonts w:ascii="Cambria" w:eastAsia="Cambria" w:hAnsi="Cambria" w:cs="Cambria"/>
          <w:sz w:val="20"/>
          <w:szCs w:val="20"/>
        </w:rPr>
        <w:t>Liu, J., Wang, Y., &amp; Wu, L. (2011). The Effect of Guanxi on Audit Quality in China. Journal of Business Ethics, 103(4), 621–638.</w:t>
      </w:r>
    </w:p>
    <w:p w:rsidR="00C30601" w:rsidRPr="00C30601" w:rsidRDefault="00C30601" w:rsidP="00C30601">
      <w:pPr>
        <w:widowControl w:val="0"/>
        <w:spacing w:after="0" w:line="240" w:lineRule="auto"/>
        <w:ind w:left="640" w:hanging="640"/>
        <w:jc w:val="both"/>
        <w:rPr>
          <w:rFonts w:ascii="Cambria" w:eastAsia="Cambria" w:hAnsi="Cambria" w:cs="Cambria"/>
          <w:sz w:val="20"/>
          <w:szCs w:val="20"/>
        </w:rPr>
      </w:pPr>
      <w:r w:rsidRPr="00C30601">
        <w:rPr>
          <w:rFonts w:ascii="Cambria" w:eastAsia="Cambria" w:hAnsi="Cambria" w:cs="Cambria"/>
          <w:sz w:val="20"/>
          <w:szCs w:val="20"/>
        </w:rPr>
        <w:t>McKinsey &amp; Company. (2000). Investor opinion survey, (June), 1–18. Retrieved from https://www.oecd.org/corporate/ca/corporategovernanceprinciples/1922101.pdf</w:t>
      </w:r>
    </w:p>
    <w:p w:rsidR="00C30601" w:rsidRPr="00C30601" w:rsidRDefault="00C30601" w:rsidP="00C30601">
      <w:pPr>
        <w:widowControl w:val="0"/>
        <w:spacing w:after="0" w:line="240" w:lineRule="auto"/>
        <w:ind w:left="640" w:hanging="640"/>
        <w:jc w:val="both"/>
        <w:rPr>
          <w:rFonts w:ascii="Cambria" w:eastAsia="Cambria" w:hAnsi="Cambria" w:cs="Cambria"/>
          <w:sz w:val="20"/>
          <w:szCs w:val="20"/>
        </w:rPr>
      </w:pPr>
      <w:r w:rsidRPr="00C30601">
        <w:rPr>
          <w:rFonts w:ascii="Cambria" w:eastAsia="Cambria" w:hAnsi="Cambria" w:cs="Cambria"/>
          <w:sz w:val="20"/>
          <w:szCs w:val="20"/>
        </w:rPr>
        <w:t>Presiden Republik Indonesia. (1998). Undang-Undang Republik Indonesia Nomor 10 Tahun 1998 Tentang Perubahan Atas Undang-Undang Nomor 7 Tahun 1992 Tentang Perbankan.</w:t>
      </w:r>
    </w:p>
    <w:p w:rsidR="00C30601" w:rsidRPr="00C30601" w:rsidRDefault="00C30601" w:rsidP="00C30601">
      <w:pPr>
        <w:widowControl w:val="0"/>
        <w:spacing w:after="0" w:line="240" w:lineRule="auto"/>
        <w:ind w:left="640" w:hanging="640"/>
        <w:jc w:val="both"/>
        <w:rPr>
          <w:rFonts w:ascii="Cambria" w:eastAsia="Cambria" w:hAnsi="Cambria" w:cs="Cambria"/>
          <w:sz w:val="20"/>
          <w:szCs w:val="20"/>
        </w:rPr>
      </w:pPr>
      <w:r w:rsidRPr="00C30601">
        <w:rPr>
          <w:rFonts w:ascii="Cambria" w:eastAsia="Cambria" w:hAnsi="Cambria" w:cs="Cambria"/>
          <w:sz w:val="20"/>
          <w:szCs w:val="20"/>
        </w:rPr>
        <w:t>Rudyanto, A., Daniswari, D., &amp; Oktaviani, Y. (2017). Audit Firm Reputation versus Auditor Capability : Their Effect on Audit Quality in Indonesia. Accounting and Finance Review, 2(4), 12–20.</w:t>
      </w:r>
    </w:p>
    <w:p w:rsidR="00C30601" w:rsidRPr="00C30601" w:rsidRDefault="00C30601" w:rsidP="00C30601">
      <w:pPr>
        <w:widowControl w:val="0"/>
        <w:spacing w:after="0" w:line="240" w:lineRule="auto"/>
        <w:ind w:left="640" w:hanging="640"/>
        <w:jc w:val="both"/>
        <w:rPr>
          <w:rFonts w:ascii="Cambria" w:eastAsia="Cambria" w:hAnsi="Cambria" w:cs="Cambria"/>
          <w:sz w:val="20"/>
          <w:szCs w:val="20"/>
        </w:rPr>
      </w:pPr>
      <w:r w:rsidRPr="00C30601">
        <w:rPr>
          <w:rFonts w:ascii="Cambria" w:eastAsia="Cambria" w:hAnsi="Cambria" w:cs="Cambria"/>
          <w:sz w:val="20"/>
          <w:szCs w:val="20"/>
        </w:rPr>
        <w:t xml:space="preserve">Setia-Atmaja, L. Y. (2009). Governance mechanisms and firm value: The impact of ownership concentration </w:t>
      </w:r>
      <w:r w:rsidRPr="00C30601">
        <w:rPr>
          <w:rFonts w:ascii="Cambria" w:eastAsia="Cambria" w:hAnsi="Cambria" w:cs="Cambria"/>
          <w:sz w:val="20"/>
          <w:szCs w:val="20"/>
        </w:rPr>
        <w:lastRenderedPageBreak/>
        <w:t>and dividends. Corporate Governance: An International Review, 17(6), 694–709.</w:t>
      </w:r>
    </w:p>
    <w:p w:rsidR="00C30601" w:rsidRPr="00C30601" w:rsidRDefault="00C30601" w:rsidP="00C30601">
      <w:pPr>
        <w:widowControl w:val="0"/>
        <w:spacing w:after="0" w:line="240" w:lineRule="auto"/>
        <w:ind w:left="640" w:hanging="640"/>
        <w:jc w:val="both"/>
        <w:rPr>
          <w:rFonts w:ascii="Cambria" w:eastAsia="Cambria" w:hAnsi="Cambria" w:cs="Cambria"/>
          <w:sz w:val="20"/>
          <w:szCs w:val="20"/>
        </w:rPr>
      </w:pPr>
      <w:r w:rsidRPr="00C30601">
        <w:rPr>
          <w:rFonts w:ascii="Cambria" w:eastAsia="Cambria" w:hAnsi="Cambria" w:cs="Cambria"/>
          <w:sz w:val="20"/>
          <w:szCs w:val="20"/>
        </w:rPr>
        <w:t>Shleifer, A., &amp; Vishny, R. W. (1997). A survey of corporate governance. Journal of Finance, 52(2), 737–783.</w:t>
      </w:r>
    </w:p>
    <w:p w:rsidR="00C30601" w:rsidRPr="00C30601" w:rsidRDefault="00C30601" w:rsidP="00C30601">
      <w:pPr>
        <w:widowControl w:val="0"/>
        <w:spacing w:after="0" w:line="240" w:lineRule="auto"/>
        <w:ind w:left="640" w:hanging="640"/>
        <w:jc w:val="both"/>
        <w:rPr>
          <w:rFonts w:ascii="Cambria" w:eastAsia="Cambria" w:hAnsi="Cambria" w:cs="Cambria"/>
          <w:sz w:val="20"/>
          <w:szCs w:val="20"/>
        </w:rPr>
      </w:pPr>
      <w:r w:rsidRPr="00C30601">
        <w:rPr>
          <w:rFonts w:ascii="Cambria" w:eastAsia="Cambria" w:hAnsi="Cambria" w:cs="Cambria"/>
          <w:sz w:val="20"/>
          <w:szCs w:val="20"/>
        </w:rPr>
        <w:t>Shleifer, A., Vishny, R. W., Journal, T., Jun, P., Shleifer, A., &amp; Vishny, R. W. (1986). Large Shareholders and Corporate Control. The Journal ofPolitical Economy, 94(3), 461–488.</w:t>
      </w:r>
    </w:p>
    <w:p w:rsidR="00C30601" w:rsidRPr="00C30601" w:rsidRDefault="00C30601" w:rsidP="00C30601">
      <w:pPr>
        <w:widowControl w:val="0"/>
        <w:spacing w:after="0" w:line="240" w:lineRule="auto"/>
        <w:ind w:left="640" w:hanging="640"/>
        <w:jc w:val="both"/>
        <w:rPr>
          <w:rFonts w:ascii="Cambria" w:eastAsia="Cambria" w:hAnsi="Cambria" w:cs="Cambria"/>
          <w:sz w:val="20"/>
          <w:szCs w:val="20"/>
        </w:rPr>
      </w:pPr>
      <w:r w:rsidRPr="00C30601">
        <w:rPr>
          <w:rFonts w:ascii="Cambria" w:eastAsia="Cambria" w:hAnsi="Cambria" w:cs="Cambria"/>
          <w:sz w:val="20"/>
          <w:szCs w:val="20"/>
        </w:rPr>
        <w:t>Tuanakota, Theodorus M. 2011. Berpikir Kritis Dalam Auditing. Jakarta: Salemba Empat.</w:t>
      </w:r>
    </w:p>
    <w:p w:rsidR="00C30601" w:rsidRPr="00C30601" w:rsidRDefault="00C30601" w:rsidP="00C30601">
      <w:pPr>
        <w:widowControl w:val="0"/>
        <w:spacing w:after="0" w:line="240" w:lineRule="auto"/>
        <w:ind w:left="640" w:hanging="640"/>
        <w:jc w:val="both"/>
        <w:rPr>
          <w:rFonts w:ascii="Cambria" w:eastAsia="Cambria" w:hAnsi="Cambria" w:cs="Cambria"/>
          <w:sz w:val="20"/>
          <w:szCs w:val="20"/>
        </w:rPr>
      </w:pPr>
      <w:r w:rsidRPr="00C30601">
        <w:rPr>
          <w:rFonts w:ascii="Cambria" w:eastAsia="Cambria" w:hAnsi="Cambria" w:cs="Cambria"/>
          <w:sz w:val="20"/>
          <w:szCs w:val="20"/>
        </w:rPr>
        <w:t>Udin, S., Khan, M. A., &amp; Javid, A. Y. (2017). The Effects of Ownership Structure on Likelihood of Financial Distress: An Empirical Evidence. Corporate Governance: The International Journal of Business in Society, 17, 589–612.</w:t>
      </w:r>
    </w:p>
    <w:p w:rsidR="00C30601" w:rsidRPr="00C30601" w:rsidRDefault="00C30601" w:rsidP="00C30601">
      <w:pPr>
        <w:widowControl w:val="0"/>
        <w:spacing w:after="0" w:line="240" w:lineRule="auto"/>
        <w:ind w:left="640" w:hanging="640"/>
        <w:jc w:val="both"/>
        <w:rPr>
          <w:rFonts w:ascii="Cambria" w:eastAsia="Cambria" w:hAnsi="Cambria" w:cs="Cambria"/>
          <w:sz w:val="20"/>
          <w:szCs w:val="20"/>
        </w:rPr>
      </w:pPr>
      <w:r w:rsidRPr="00C30601">
        <w:rPr>
          <w:rFonts w:ascii="Cambria" w:eastAsia="Cambria" w:hAnsi="Cambria" w:cs="Cambria"/>
          <w:sz w:val="20"/>
          <w:szCs w:val="20"/>
        </w:rPr>
        <w:t>Wei, Z., &amp; Varela, O. (2003). State equity ownership and firm market performance: Evidence from China’s newly privatized firms. Global Finance Journal, 14(1), 65–82.</w:t>
      </w:r>
    </w:p>
    <w:p w:rsidR="00C30601" w:rsidRPr="00C30601" w:rsidRDefault="00C30601" w:rsidP="008B57B2">
      <w:pPr>
        <w:widowControl w:val="0"/>
        <w:spacing w:after="0" w:line="240" w:lineRule="auto"/>
        <w:ind w:left="640" w:hanging="640"/>
        <w:jc w:val="both"/>
        <w:rPr>
          <w:rFonts w:ascii="Cambria" w:eastAsia="Cambria" w:hAnsi="Cambria" w:cs="Cambria"/>
          <w:sz w:val="20"/>
          <w:szCs w:val="20"/>
        </w:rPr>
      </w:pPr>
      <w:r w:rsidRPr="00C30601">
        <w:rPr>
          <w:rFonts w:ascii="Cambria" w:eastAsia="Cambria" w:hAnsi="Cambria" w:cs="Cambria"/>
          <w:sz w:val="20"/>
          <w:szCs w:val="20"/>
        </w:rPr>
        <w:t>Zureigat, Q. (2011). The Effect of Ownership Structure on Audit Quality: Evidence from Jordan. International Journal of Business and Social Science, 2(10), 38–46.</w:t>
      </w:r>
    </w:p>
    <w:p w:rsidR="00C30601" w:rsidRPr="00C30601" w:rsidRDefault="00C30601" w:rsidP="00C30601">
      <w:pPr>
        <w:widowControl w:val="0"/>
        <w:spacing w:after="0" w:line="240" w:lineRule="auto"/>
        <w:ind w:left="640" w:hanging="640"/>
        <w:rPr>
          <w:rFonts w:ascii="Cambria" w:eastAsia="Cambria" w:hAnsi="Cambria" w:cs="Cambria"/>
          <w:sz w:val="20"/>
          <w:szCs w:val="20"/>
        </w:rPr>
      </w:pPr>
      <w:r w:rsidRPr="00C30601">
        <w:rPr>
          <w:rFonts w:ascii="Cambria" w:eastAsia="Cambria" w:hAnsi="Cambria" w:cs="Cambria"/>
          <w:sz w:val="20"/>
          <w:szCs w:val="20"/>
        </w:rPr>
        <w:t xml:space="preserve"> </w:t>
      </w:r>
    </w:p>
    <w:p w:rsidR="0094578E" w:rsidRDefault="0094578E">
      <w:pPr>
        <w:spacing w:after="0"/>
        <w:jc w:val="both"/>
        <w:rPr>
          <w:rFonts w:ascii="Cambria" w:eastAsia="Cambria" w:hAnsi="Cambria" w:cs="Cambria"/>
          <w:b/>
          <w:sz w:val="20"/>
          <w:szCs w:val="20"/>
        </w:rPr>
      </w:pPr>
    </w:p>
    <w:p w:rsidR="0094578E" w:rsidRDefault="0094578E">
      <w:pPr>
        <w:spacing w:after="0"/>
        <w:jc w:val="center"/>
        <w:rPr>
          <w:rFonts w:ascii="Cambria" w:eastAsia="Cambria" w:hAnsi="Cambria" w:cs="Cambria"/>
          <w:b/>
          <w:sz w:val="20"/>
          <w:szCs w:val="20"/>
        </w:rPr>
      </w:pPr>
    </w:p>
    <w:p w:rsidR="0094578E" w:rsidRDefault="0094578E">
      <w:pPr>
        <w:spacing w:after="0" w:line="240" w:lineRule="auto"/>
        <w:rPr>
          <w:rFonts w:ascii="Cambria" w:eastAsia="Cambria" w:hAnsi="Cambria" w:cs="Cambria"/>
          <w:sz w:val="20"/>
          <w:szCs w:val="20"/>
        </w:rPr>
      </w:pPr>
    </w:p>
    <w:sectPr w:rsidR="0094578E">
      <w:headerReference w:type="default" r:id="rId9"/>
      <w:footerReference w:type="default" r:id="rId10"/>
      <w:pgSz w:w="11907" w:h="16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1478" w:rsidRDefault="00091478">
      <w:pPr>
        <w:spacing w:after="0" w:line="240" w:lineRule="auto"/>
      </w:pPr>
      <w:r>
        <w:separator/>
      </w:r>
    </w:p>
  </w:endnote>
  <w:endnote w:type="continuationSeparator" w:id="0">
    <w:p w:rsidR="00091478" w:rsidRDefault="00091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578E" w:rsidRPr="004D23F5" w:rsidRDefault="004D23F5">
    <w:pPr>
      <w:pBdr>
        <w:top w:val="nil"/>
        <w:left w:val="nil"/>
        <w:bottom w:val="nil"/>
        <w:right w:val="nil"/>
        <w:between w:val="nil"/>
      </w:pBdr>
      <w:tabs>
        <w:tab w:val="center" w:pos="4513"/>
        <w:tab w:val="right" w:pos="9026"/>
      </w:tabs>
      <w:spacing w:after="0" w:line="240" w:lineRule="auto"/>
      <w:jc w:val="right"/>
      <w:rPr>
        <w:rFonts w:ascii="Times New Roman" w:eastAsia="Times New Roman" w:hAnsi="Times New Roman" w:cs="Times New Roman"/>
        <w:iCs/>
        <w:color w:val="000000"/>
        <w:sz w:val="20"/>
        <w:szCs w:val="20"/>
      </w:rPr>
    </w:pPr>
    <w:r w:rsidRPr="004D23F5">
      <w:rPr>
        <w:rFonts w:ascii="Times New Roman" w:eastAsia="Times New Roman" w:hAnsi="Times New Roman" w:cs="Times New Roman"/>
        <w:iCs/>
        <w:color w:val="000000"/>
        <w:sz w:val="20"/>
        <w:szCs w:val="20"/>
      </w:rPr>
      <w:t>The Effect of Ownership Structure on Audit Quality in the Banking Sector in 2010-2018</w:t>
    </w:r>
  </w:p>
  <w:p w:rsidR="0094578E"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340CC">
      <w:rPr>
        <w:noProof/>
        <w:color w:val="000000"/>
      </w:rPr>
      <w:t>1</w:t>
    </w:r>
    <w:r>
      <w:rPr>
        <w:color w:val="000000"/>
      </w:rPr>
      <w:fldChar w:fldCharType="end"/>
    </w:r>
  </w:p>
  <w:p w:rsidR="0094578E" w:rsidRDefault="0094578E">
    <w:pPr>
      <w:pBdr>
        <w:top w:val="nil"/>
        <w:left w:val="nil"/>
        <w:bottom w:val="nil"/>
        <w:right w:val="nil"/>
        <w:between w:val="nil"/>
      </w:pBdr>
      <w:tabs>
        <w:tab w:val="center" w:pos="4513"/>
        <w:tab w:val="right" w:pos="9026"/>
      </w:tabs>
      <w:spacing w:after="0" w:line="240" w:lineRule="auto"/>
      <w:jc w:val="right"/>
      <w:rPr>
        <w:color w:val="000000"/>
      </w:rPr>
    </w:pPr>
  </w:p>
  <w:p w:rsidR="0094578E" w:rsidRDefault="0094578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1478" w:rsidRDefault="00091478">
      <w:pPr>
        <w:spacing w:after="0" w:line="240" w:lineRule="auto"/>
      </w:pPr>
      <w:r>
        <w:separator/>
      </w:r>
    </w:p>
  </w:footnote>
  <w:footnote w:type="continuationSeparator" w:id="0">
    <w:p w:rsidR="00091478" w:rsidRDefault="00091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578E" w:rsidRDefault="0094578E">
    <w:pPr>
      <w:pBdr>
        <w:top w:val="nil"/>
        <w:left w:val="nil"/>
        <w:bottom w:val="nil"/>
        <w:right w:val="nil"/>
        <w:between w:val="nil"/>
      </w:pBdr>
      <w:tabs>
        <w:tab w:val="center" w:pos="4513"/>
        <w:tab w:val="right" w:pos="9026"/>
      </w:tabs>
      <w:spacing w:after="0" w:line="240" w:lineRule="auto"/>
      <w:rPr>
        <w:b/>
        <w:color w:val="000000"/>
        <w:sz w:val="20"/>
        <w:szCs w:val="20"/>
      </w:rPr>
    </w:pPr>
  </w:p>
  <w:tbl>
    <w:tblPr>
      <w:tblStyle w:val="a1"/>
      <w:tblW w:w="9027" w:type="dxa"/>
      <w:tblBorders>
        <w:top w:val="nil"/>
        <w:left w:val="nil"/>
        <w:bottom w:val="nil"/>
        <w:right w:val="nil"/>
        <w:insideH w:val="nil"/>
        <w:insideV w:val="nil"/>
      </w:tblBorders>
      <w:tblLayout w:type="fixed"/>
      <w:tblLook w:val="0400" w:firstRow="0" w:lastRow="0" w:firstColumn="0" w:lastColumn="0" w:noHBand="0" w:noVBand="1"/>
    </w:tblPr>
    <w:tblGrid>
      <w:gridCol w:w="2176"/>
      <w:gridCol w:w="4475"/>
      <w:gridCol w:w="2376"/>
    </w:tblGrid>
    <w:tr w:rsidR="0094578E">
      <w:trPr>
        <w:trHeight w:val="985"/>
      </w:trPr>
      <w:tc>
        <w:tcPr>
          <w:tcW w:w="2176" w:type="dxa"/>
        </w:tcPr>
        <w:p w:rsidR="0094578E" w:rsidRDefault="00000000">
          <w:pPr>
            <w:pBdr>
              <w:top w:val="nil"/>
              <w:left w:val="nil"/>
              <w:bottom w:val="nil"/>
              <w:right w:val="nil"/>
              <w:between w:val="nil"/>
            </w:pBdr>
            <w:tabs>
              <w:tab w:val="center" w:pos="4513"/>
              <w:tab w:val="right" w:pos="9026"/>
            </w:tabs>
            <w:jc w:val="center"/>
            <w:rPr>
              <w:b/>
              <w:color w:val="000000"/>
              <w:sz w:val="20"/>
              <w:szCs w:val="20"/>
            </w:rPr>
          </w:pPr>
          <w:r>
            <w:rPr>
              <w:b/>
              <w:noProof/>
              <w:color w:val="000000"/>
              <w:sz w:val="20"/>
              <w:szCs w:val="20"/>
            </w:rPr>
            <w:drawing>
              <wp:inline distT="0" distB="0" distL="0" distR="0">
                <wp:extent cx="1288714" cy="587738"/>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8714" cy="587738"/>
                        </a:xfrm>
                        <a:prstGeom prst="rect">
                          <a:avLst/>
                        </a:prstGeom>
                        <a:ln/>
                      </pic:spPr>
                    </pic:pic>
                  </a:graphicData>
                </a:graphic>
              </wp:inline>
            </w:drawing>
          </w:r>
        </w:p>
      </w:tc>
      <w:tc>
        <w:tcPr>
          <w:tcW w:w="4475" w:type="dxa"/>
          <w:vAlign w:val="center"/>
        </w:tcPr>
        <w:p w:rsidR="0094578E" w:rsidRDefault="00000000">
          <w:pPr>
            <w:jc w:val="center"/>
            <w:rPr>
              <w:rFonts w:ascii="Cambria" w:eastAsia="Cambria" w:hAnsi="Cambria" w:cs="Cambria"/>
              <w:sz w:val="18"/>
              <w:szCs w:val="18"/>
            </w:rPr>
          </w:pPr>
          <w:hyperlink r:id="rId2">
            <w:r>
              <w:rPr>
                <w:rFonts w:ascii="Cambria" w:eastAsia="Cambria" w:hAnsi="Cambria" w:cs="Cambria"/>
                <w:color w:val="0563C1"/>
                <w:sz w:val="18"/>
                <w:szCs w:val="18"/>
              </w:rPr>
              <w:t>http://ejournal.seaninstitute.or.id/index.php/Ekonomi</w:t>
            </w:r>
          </w:hyperlink>
        </w:p>
        <w:p w:rsidR="0094578E" w:rsidRDefault="00000000">
          <w:pPr>
            <w:jc w:val="center"/>
            <w:rPr>
              <w:rFonts w:ascii="Cambria" w:eastAsia="Cambria" w:hAnsi="Cambria" w:cs="Cambria"/>
              <w:sz w:val="18"/>
              <w:szCs w:val="18"/>
            </w:rPr>
          </w:pPr>
          <w:r>
            <w:rPr>
              <w:rFonts w:ascii="Cambria" w:eastAsia="Cambria" w:hAnsi="Cambria" w:cs="Cambria"/>
              <w:b/>
              <w:sz w:val="18"/>
              <w:szCs w:val="18"/>
            </w:rPr>
            <w:t>Jurnal Ekonomi, Volume 11, No 02 September  2022</w:t>
          </w:r>
        </w:p>
        <w:p w:rsidR="0094578E" w:rsidRDefault="00000000">
          <w:pPr>
            <w:jc w:val="center"/>
            <w:rPr>
              <w:b/>
              <w:sz w:val="20"/>
              <w:szCs w:val="20"/>
            </w:rPr>
          </w:pPr>
          <w:r>
            <w:rPr>
              <w:rFonts w:ascii="Cambria" w:eastAsia="Cambria" w:hAnsi="Cambria" w:cs="Cambria"/>
              <w:sz w:val="18"/>
              <w:szCs w:val="18"/>
            </w:rPr>
            <w:t>ISSN: 2301-6280 (print) ISSN: 2721-9879 (online)</w:t>
          </w:r>
        </w:p>
      </w:tc>
      <w:tc>
        <w:tcPr>
          <w:tcW w:w="2376" w:type="dxa"/>
        </w:tcPr>
        <w:p w:rsidR="0094578E" w:rsidRDefault="00000000">
          <w:pPr>
            <w:pBdr>
              <w:top w:val="nil"/>
              <w:left w:val="nil"/>
              <w:bottom w:val="nil"/>
              <w:right w:val="nil"/>
              <w:between w:val="nil"/>
            </w:pBdr>
            <w:tabs>
              <w:tab w:val="center" w:pos="4513"/>
              <w:tab w:val="right" w:pos="9026"/>
            </w:tabs>
            <w:rPr>
              <w:b/>
              <w:color w:val="000000"/>
              <w:sz w:val="20"/>
              <w:szCs w:val="20"/>
            </w:rPr>
          </w:pPr>
          <w:r>
            <w:rPr>
              <w:noProof/>
              <w:color w:val="000000"/>
            </w:rPr>
            <w:drawing>
              <wp:inline distT="0" distB="0" distL="0" distR="0">
                <wp:extent cx="1382382" cy="572948"/>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l="10276" t="45608" r="66723" b="40987"/>
                        <a:stretch>
                          <a:fillRect/>
                        </a:stretch>
                      </pic:blipFill>
                      <pic:spPr>
                        <a:xfrm>
                          <a:off x="0" y="0"/>
                          <a:ext cx="1382382" cy="572948"/>
                        </a:xfrm>
                        <a:prstGeom prst="rect">
                          <a:avLst/>
                        </a:prstGeom>
                        <a:ln/>
                      </pic:spPr>
                    </pic:pic>
                  </a:graphicData>
                </a:graphic>
              </wp:inline>
            </w:drawing>
          </w:r>
        </w:p>
      </w:tc>
    </w:tr>
  </w:tbl>
  <w:p w:rsidR="0094578E" w:rsidRDefault="00000000">
    <w:pPr>
      <w:pBdr>
        <w:top w:val="nil"/>
        <w:left w:val="nil"/>
        <w:bottom w:val="nil"/>
        <w:right w:val="nil"/>
        <w:between w:val="nil"/>
      </w:pBdr>
      <w:tabs>
        <w:tab w:val="center" w:pos="4513"/>
        <w:tab w:val="right" w:pos="9026"/>
        <w:tab w:val="left" w:pos="3983"/>
      </w:tabs>
      <w:spacing w:after="0" w:line="240" w:lineRule="auto"/>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C236D"/>
    <w:multiLevelType w:val="hybridMultilevel"/>
    <w:tmpl w:val="6C267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0154D3"/>
    <w:multiLevelType w:val="multilevel"/>
    <w:tmpl w:val="B344B27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24673211">
    <w:abstractNumId w:val="1"/>
  </w:num>
  <w:num w:numId="2" w16cid:durableId="2119837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8E"/>
    <w:rsid w:val="00091478"/>
    <w:rsid w:val="003340CC"/>
    <w:rsid w:val="004D23F5"/>
    <w:rsid w:val="00603104"/>
    <w:rsid w:val="008B57B2"/>
    <w:rsid w:val="0094578E"/>
    <w:rsid w:val="00A47F18"/>
    <w:rsid w:val="00C30601"/>
    <w:rsid w:val="00E9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AA9A"/>
  <w15:docId w15:val="{BFA16779-601D-4E9C-B345-FE663EC5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6F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81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6F2"/>
  </w:style>
  <w:style w:type="paragraph" w:styleId="Footer">
    <w:name w:val="footer"/>
    <w:basedOn w:val="Normal"/>
    <w:link w:val="FooterChar"/>
    <w:uiPriority w:val="99"/>
    <w:unhideWhenUsed/>
    <w:rsid w:val="00D81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6F2"/>
  </w:style>
  <w:style w:type="table" w:styleId="TableGrid">
    <w:name w:val="Table Grid"/>
    <w:basedOn w:val="TableNormal"/>
    <w:uiPriority w:val="59"/>
    <w:rsid w:val="00D81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816F2"/>
    <w:pPr>
      <w:spacing w:after="0" w:line="240" w:lineRule="auto"/>
    </w:pPr>
    <w:rPr>
      <w:rFonts w:eastAsiaTheme="minorEastAsia"/>
      <w:lang w:val="en-ID" w:eastAsia="en-ID"/>
    </w:rPr>
    <w:tblPr>
      <w:tblCellMar>
        <w:top w:w="0" w:type="dxa"/>
        <w:left w:w="0" w:type="dxa"/>
        <w:bottom w:w="0" w:type="dxa"/>
        <w:right w:w="0" w:type="dxa"/>
      </w:tblCellMar>
    </w:tblPr>
  </w:style>
  <w:style w:type="character" w:styleId="Hyperlink">
    <w:name w:val="Hyperlink"/>
    <w:basedOn w:val="DefaultParagraphFont"/>
    <w:uiPriority w:val="99"/>
    <w:unhideWhenUsed/>
    <w:rsid w:val="0031719D"/>
    <w:rPr>
      <w:color w:val="0563C1" w:themeColor="hyperlink"/>
      <w:u w:val="single"/>
    </w:rPr>
  </w:style>
  <w:style w:type="paragraph" w:styleId="ListParagraph">
    <w:name w:val="List Paragraph"/>
    <w:basedOn w:val="Normal"/>
    <w:uiPriority w:val="34"/>
    <w:qFormat/>
    <w:rsid w:val="0031719D"/>
    <w:pPr>
      <w:ind w:left="720"/>
      <w:contextualSpacing/>
    </w:pPr>
  </w:style>
  <w:style w:type="paragraph" w:customStyle="1" w:styleId="Default">
    <w:name w:val="Default"/>
    <w:rsid w:val="00E86594"/>
    <w:pPr>
      <w:autoSpaceDE w:val="0"/>
      <w:autoSpaceDN w:val="0"/>
      <w:adjustRightInd w:val="0"/>
      <w:spacing w:after="0" w:line="240" w:lineRule="auto"/>
    </w:pPr>
    <w:rPr>
      <w:rFonts w:cs="Arial"/>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 w:type="table" w:styleId="PlainTable2">
    <w:name w:val="Plain Table 2"/>
    <w:basedOn w:val="TableNormal"/>
    <w:uiPriority w:val="42"/>
    <w:rsid w:val="00C30601"/>
    <w:pPr>
      <w:spacing w:after="0" w:line="240" w:lineRule="auto"/>
    </w:pPr>
    <w:rPr>
      <w:rFonts w:asciiTheme="minorHAnsi" w:eastAsiaTheme="minorEastAsia" w:hAnsiTheme="minorHAnsi" w:cstheme="minorBidi"/>
      <w:lang w:val="e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ghtList1">
    <w:name w:val="Light List1"/>
    <w:basedOn w:val="TableNormal"/>
    <w:uiPriority w:val="61"/>
    <w:rsid w:val="00C30601"/>
    <w:pPr>
      <w:spacing w:after="0" w:line="240" w:lineRule="auto"/>
    </w:pPr>
    <w:rPr>
      <w:rFonts w:asciiTheme="minorHAnsi" w:eastAsiaTheme="minorHAnsi" w:hAnsiTheme="minorHAnsi" w:cstheme="minorBidi"/>
      <w:lang w:val="e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UnresolvedMention">
    <w:name w:val="Unresolved Mention"/>
    <w:basedOn w:val="DefaultParagraphFont"/>
    <w:uiPriority w:val="99"/>
    <w:semiHidden/>
    <w:unhideWhenUsed/>
    <w:rsid w:val="00E96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ejournal.seaninstitute.or.id/index.php/Ekonomi"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FoS02QGjaC4rRT0YtKNx+yle4w==">AMUW2mXjI0burD8QsS+f3zhilxWRcbCWfYDZQgCmvcM7VD+kiYtChPSEKdc2CFJyHHFtfrQS0cQv2OImardeNT4Ob4fiwe4ebY6zMw0B8HkAgX+F/yAqjtY=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4157</Words>
  <Characters>23699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Aron Panjaitan</dc:creator>
  <cp:lastModifiedBy>Evelyn</cp:lastModifiedBy>
  <cp:revision>4</cp:revision>
  <dcterms:created xsi:type="dcterms:W3CDTF">2022-01-11T12:13:00Z</dcterms:created>
  <dcterms:modified xsi:type="dcterms:W3CDTF">2023-04-03T06:39:00Z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78c190a2-8e7a-3686-ba5e-21228e9ecc43</vt:lpwstr>
  </property>
  <property fmtid="{D5CDD505-2E9C-101B-9397-08002B2CF9AE}" pid="24" name="Mendeley Citation Style_1">
    <vt:lpwstr>http://www.zotero.org/styles/ieee</vt:lpwstr>
  </property>
</Properties>
</file>