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A3" w:rsidRDefault="00F65321" w:rsidP="00D42DA3">
      <w:pPr>
        <w:pStyle w:val="Header"/>
        <w:jc w:val="center"/>
        <w:rPr>
          <w:b/>
          <w:bCs/>
          <w:sz w:val="22"/>
          <w:szCs w:val="22"/>
          <w:lang w:val="en-US"/>
        </w:rPr>
      </w:pPr>
      <w:r w:rsidRPr="00F6532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-30.75pt;width:466.85pt;height:38.05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" fillcolor="#a8d08d [1945]" strokecolor="#f2f2f2" strokeweight="3pt">
            <v:shadow on="t" color="#7f340d" opacity=".5" offset="1pt"/>
            <v:textbox style="mso-fit-shape-to-text:t">
              <w:txbxContent>
                <w:p w:rsidR="00D42DA3" w:rsidRPr="003B2C71" w:rsidRDefault="00D42DA3" w:rsidP="00D42DA3">
                  <w:pPr>
                    <w:shd w:val="clear" w:color="auto" w:fill="A8D08D" w:themeFill="accent6" w:themeFillTint="99"/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3B2C71">
                    <w:rPr>
                      <w:rFonts w:ascii="Cambria" w:hAnsi="Cambria"/>
                      <w:b/>
                      <w:bCs/>
                    </w:rPr>
                    <w:t xml:space="preserve">BB-0707-O </w:t>
                  </w:r>
                </w:p>
                <w:p w:rsidR="00D42DA3" w:rsidRDefault="00D42DA3" w:rsidP="00D42DA3">
                  <w:pPr>
                    <w:shd w:val="clear" w:color="auto" w:fill="A8D08D" w:themeFill="accent6" w:themeFillTint="99"/>
                    <w:jc w:val="center"/>
                  </w:pPr>
                  <w:r>
                    <w:t>(Abstract code placed by the organizer)</w:t>
                  </w:r>
                </w:p>
              </w:txbxContent>
            </v:textbox>
            <w10:wrap type="square"/>
          </v:shape>
        </w:pict>
      </w:r>
    </w:p>
    <w:p w:rsidR="0040246A" w:rsidRDefault="0040246A" w:rsidP="0040246A">
      <w:pPr>
        <w:jc w:val="center"/>
        <w:rPr>
          <w:b/>
          <w:bCs/>
          <w:sz w:val="28"/>
          <w:szCs w:val="28"/>
        </w:rPr>
      </w:pPr>
      <w:r w:rsidRPr="00D27367">
        <w:rPr>
          <w:b/>
          <w:bCs/>
          <w:sz w:val="28"/>
          <w:szCs w:val="28"/>
        </w:rPr>
        <w:t>Antibiotic utili</w:t>
      </w:r>
      <w:r>
        <w:rPr>
          <w:b/>
          <w:bCs/>
          <w:sz w:val="28"/>
          <w:szCs w:val="28"/>
        </w:rPr>
        <w:t>z</w:t>
      </w:r>
      <w:r w:rsidRPr="00D27367">
        <w:rPr>
          <w:b/>
          <w:bCs/>
          <w:sz w:val="28"/>
          <w:szCs w:val="28"/>
        </w:rPr>
        <w:t>ation review among</w:t>
      </w:r>
      <w:r>
        <w:rPr>
          <w:b/>
          <w:bCs/>
          <w:sz w:val="28"/>
          <w:szCs w:val="28"/>
        </w:rPr>
        <w:t xml:space="preserve"> hospitalized</w:t>
      </w:r>
      <w:r w:rsidRPr="00D27367">
        <w:rPr>
          <w:b/>
          <w:bCs/>
          <w:sz w:val="28"/>
          <w:szCs w:val="28"/>
        </w:rPr>
        <w:t xml:space="preserve"> patients with pneumonia during early</w:t>
      </w:r>
      <w:r>
        <w:rPr>
          <w:b/>
          <w:bCs/>
          <w:sz w:val="28"/>
          <w:szCs w:val="28"/>
        </w:rPr>
        <w:t xml:space="preserve"> </w:t>
      </w:r>
      <w:r w:rsidRPr="00D27367">
        <w:rPr>
          <w:b/>
          <w:bCs/>
          <w:sz w:val="28"/>
          <w:szCs w:val="28"/>
        </w:rPr>
        <w:t>Corona</w:t>
      </w:r>
      <w:r>
        <w:rPr>
          <w:b/>
          <w:bCs/>
          <w:sz w:val="28"/>
          <w:szCs w:val="28"/>
        </w:rPr>
        <w:t>-19</w:t>
      </w:r>
      <w:r w:rsidRPr="00D2736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pandemic: a multicenter study </w:t>
      </w:r>
    </w:p>
    <w:p w:rsidR="0040246A" w:rsidRPr="00880C87" w:rsidRDefault="0040246A" w:rsidP="0040246A">
      <w:pPr>
        <w:jc w:val="center"/>
        <w:rPr>
          <w:b/>
          <w:sz w:val="22"/>
          <w:szCs w:val="22"/>
        </w:rPr>
      </w:pPr>
    </w:p>
    <w:p w:rsidR="0040246A" w:rsidRPr="00880C87" w:rsidRDefault="0040246A" w:rsidP="0040246A">
      <w:pPr>
        <w:jc w:val="center"/>
        <w:rPr>
          <w:i/>
          <w:sz w:val="22"/>
          <w:szCs w:val="22"/>
        </w:rPr>
      </w:pPr>
      <w:r>
        <w:rPr>
          <w:b/>
          <w:bCs/>
          <w:sz w:val="22"/>
          <w:szCs w:val="22"/>
          <w:u w:val="single"/>
          <w:lang w:val="pt-BR"/>
        </w:rPr>
        <w:t>Rika Yulia</w:t>
      </w:r>
      <w:r w:rsidRPr="00880C87">
        <w:rPr>
          <w:sz w:val="22"/>
          <w:szCs w:val="22"/>
          <w:vertAlign w:val="superscript"/>
          <w:lang w:val="pt-BR"/>
        </w:rPr>
        <w:t>1</w:t>
      </w:r>
      <w:r w:rsidRPr="00880C87">
        <w:rPr>
          <w:sz w:val="22"/>
          <w:szCs w:val="22"/>
          <w:lang w:val="pt-BR"/>
        </w:rPr>
        <w:t xml:space="preserve">, </w:t>
      </w:r>
      <w:r>
        <w:rPr>
          <w:sz w:val="22"/>
          <w:szCs w:val="22"/>
          <w:lang w:val="pt-BR"/>
        </w:rPr>
        <w:t>Steven Victoria Halim</w:t>
      </w:r>
      <w:r>
        <w:rPr>
          <w:sz w:val="22"/>
          <w:szCs w:val="22"/>
          <w:vertAlign w:val="superscript"/>
          <w:lang w:val="pt-BR"/>
        </w:rPr>
        <w:t>1,2</w:t>
      </w:r>
      <w:r>
        <w:rPr>
          <w:sz w:val="22"/>
          <w:szCs w:val="22"/>
          <w:lang w:val="pt-BR"/>
        </w:rPr>
        <w:t>, Eko Setiawan</w:t>
      </w:r>
      <w:r>
        <w:rPr>
          <w:sz w:val="22"/>
          <w:szCs w:val="22"/>
          <w:vertAlign w:val="superscript"/>
          <w:lang w:val="pt-BR"/>
        </w:rPr>
        <w:t>1,2</w:t>
      </w:r>
      <w:r>
        <w:rPr>
          <w:sz w:val="22"/>
          <w:szCs w:val="22"/>
          <w:lang w:val="pt-BR"/>
        </w:rPr>
        <w:t>, Fauna Herawati</w:t>
      </w:r>
      <w:r>
        <w:rPr>
          <w:sz w:val="22"/>
          <w:szCs w:val="22"/>
          <w:vertAlign w:val="superscript"/>
          <w:lang w:val="pt-BR"/>
        </w:rPr>
        <w:t>1,2*</w:t>
      </w:r>
    </w:p>
    <w:p w:rsidR="0040246A" w:rsidRPr="00880C87" w:rsidRDefault="0040246A" w:rsidP="0040246A">
      <w:pPr>
        <w:rPr>
          <w:iCs/>
          <w:sz w:val="22"/>
          <w:szCs w:val="22"/>
        </w:rPr>
      </w:pPr>
    </w:p>
    <w:p w:rsidR="0040246A" w:rsidRDefault="0040246A" w:rsidP="0040246A">
      <w:pPr>
        <w:ind w:left="142" w:hanging="142"/>
        <w:jc w:val="center"/>
        <w:rPr>
          <w:sz w:val="18"/>
          <w:szCs w:val="18"/>
        </w:rPr>
      </w:pPr>
      <w:r w:rsidRPr="00880C87">
        <w:rPr>
          <w:spacing w:val="-2"/>
          <w:sz w:val="18"/>
          <w:szCs w:val="18"/>
          <w:vertAlign w:val="superscript"/>
        </w:rPr>
        <w:t>1</w:t>
      </w:r>
      <w:r w:rsidRPr="005054B3">
        <w:rPr>
          <w:sz w:val="18"/>
          <w:szCs w:val="18"/>
        </w:rPr>
        <w:t>Department of Clinical and Community Pharmacy, Faculty of Pharmacy, Universitas Surabaya, Surabaya 60293, Indonesia</w:t>
      </w:r>
    </w:p>
    <w:p w:rsidR="00D42DA3" w:rsidRPr="0040246A" w:rsidRDefault="0040246A" w:rsidP="0040246A">
      <w:pPr>
        <w:ind w:left="142" w:hanging="142"/>
        <w:jc w:val="center"/>
        <w:rPr>
          <w:b/>
          <w:bCs/>
          <w:sz w:val="28"/>
          <w:szCs w:val="28"/>
        </w:rPr>
      </w:pPr>
      <w:r w:rsidRPr="00880C87">
        <w:rPr>
          <w:spacing w:val="-2"/>
          <w:sz w:val="18"/>
          <w:szCs w:val="18"/>
          <w:vertAlign w:val="superscript"/>
        </w:rPr>
        <w:t>2</w:t>
      </w:r>
      <w:r w:rsidRPr="0040246A">
        <w:rPr>
          <w:sz w:val="18"/>
          <w:szCs w:val="18"/>
        </w:rPr>
        <w:t xml:space="preserve"> </w:t>
      </w:r>
      <w:r>
        <w:rPr>
          <w:sz w:val="18"/>
          <w:szCs w:val="18"/>
        </w:rPr>
        <w:t>Centre for Medicines Information and Pharmaceutical Care</w:t>
      </w:r>
      <w:r w:rsidRPr="005054B3">
        <w:rPr>
          <w:sz w:val="18"/>
          <w:szCs w:val="18"/>
        </w:rPr>
        <w:t>, Faculty of Pharmacy, Universitas Surabaya, Surabaya 60293, Indonesia</w:t>
      </w:r>
    </w:p>
    <w:p w:rsidR="00D42DA3" w:rsidRPr="00880C87" w:rsidRDefault="00D42DA3" w:rsidP="00D42DA3">
      <w:pPr>
        <w:jc w:val="center"/>
        <w:rPr>
          <w:sz w:val="22"/>
          <w:szCs w:val="22"/>
        </w:rPr>
      </w:pPr>
    </w:p>
    <w:p w:rsidR="00D42DA3" w:rsidRPr="00880C87" w:rsidRDefault="00D42DA3" w:rsidP="00D42DA3">
      <w:pPr>
        <w:ind w:firstLine="720"/>
        <w:jc w:val="both"/>
        <w:rPr>
          <w:i/>
          <w:sz w:val="22"/>
          <w:szCs w:val="22"/>
        </w:rPr>
      </w:pPr>
    </w:p>
    <w:p w:rsidR="00D42DA3" w:rsidRPr="009D254C" w:rsidRDefault="00D42DA3" w:rsidP="00D42DA3">
      <w:pPr>
        <w:jc w:val="both"/>
        <w:rPr>
          <w:b/>
          <w:bCs/>
          <w:sz w:val="22"/>
          <w:szCs w:val="22"/>
        </w:rPr>
      </w:pPr>
      <w:r w:rsidRPr="009D254C">
        <w:rPr>
          <w:b/>
          <w:bCs/>
          <w:sz w:val="22"/>
          <w:szCs w:val="22"/>
        </w:rPr>
        <w:t>ABSTRACT</w:t>
      </w:r>
    </w:p>
    <w:p w:rsidR="00D42DA3" w:rsidRPr="009D254C" w:rsidRDefault="00D42DA3" w:rsidP="00D42DA3">
      <w:pPr>
        <w:jc w:val="both"/>
        <w:rPr>
          <w:sz w:val="22"/>
          <w:szCs w:val="22"/>
        </w:rPr>
      </w:pPr>
      <w:r w:rsidRPr="009D254C">
        <w:rPr>
          <w:sz w:val="22"/>
          <w:szCs w:val="22"/>
        </w:rPr>
        <w:tab/>
      </w:r>
    </w:p>
    <w:p w:rsidR="00156C25" w:rsidRDefault="00156C25" w:rsidP="00156C25">
      <w:pPr>
        <w:jc w:val="both"/>
        <w:rPr>
          <w:sz w:val="22"/>
          <w:szCs w:val="22"/>
        </w:rPr>
      </w:pPr>
      <w:bookmarkStart w:id="0" w:name="_Hlk158729017"/>
      <w:r w:rsidRPr="00156C25">
        <w:rPr>
          <w:b/>
          <w:bCs/>
          <w:sz w:val="22"/>
          <w:szCs w:val="22"/>
        </w:rPr>
        <w:t>Introduction:</w:t>
      </w:r>
      <w:r>
        <w:rPr>
          <w:sz w:val="22"/>
          <w:szCs w:val="22"/>
        </w:rPr>
        <w:t xml:space="preserve"> </w:t>
      </w:r>
      <w:r w:rsidR="0040246A">
        <w:rPr>
          <w:sz w:val="22"/>
          <w:szCs w:val="22"/>
        </w:rPr>
        <w:t>Effort to optimize the a</w:t>
      </w:r>
      <w:r w:rsidR="0040246A" w:rsidRPr="00095EA4">
        <w:rPr>
          <w:sz w:val="22"/>
          <w:szCs w:val="22"/>
        </w:rPr>
        <w:t xml:space="preserve">ppropriate </w:t>
      </w:r>
      <w:r w:rsidR="0040246A">
        <w:rPr>
          <w:sz w:val="22"/>
          <w:szCs w:val="22"/>
        </w:rPr>
        <w:t xml:space="preserve">antibiotic </w:t>
      </w:r>
      <w:r w:rsidR="0040246A" w:rsidRPr="00095EA4">
        <w:rPr>
          <w:sz w:val="22"/>
          <w:szCs w:val="22"/>
        </w:rPr>
        <w:t>prescription</w:t>
      </w:r>
      <w:r w:rsidR="0040246A">
        <w:rPr>
          <w:sz w:val="22"/>
          <w:szCs w:val="22"/>
        </w:rPr>
        <w:t xml:space="preserve">s was considerable challenging at the time of coronavirus disease 2019 (COVID-19) pandemic especially in the setting with limited antibiotic resources. Whether antibiotics were appropriately prescribed for patients with pneumonia in East Java Province was unknown. </w:t>
      </w:r>
      <w:r w:rsidR="0040246A" w:rsidRPr="008D5B2C">
        <w:rPr>
          <w:sz w:val="22"/>
          <w:szCs w:val="22"/>
        </w:rPr>
        <w:t xml:space="preserve">The purpose of this study was to </w:t>
      </w:r>
      <w:r w:rsidR="0040246A">
        <w:rPr>
          <w:sz w:val="22"/>
          <w:szCs w:val="22"/>
        </w:rPr>
        <w:t>describe</w:t>
      </w:r>
      <w:r w:rsidR="0040246A" w:rsidRPr="008D5B2C">
        <w:rPr>
          <w:sz w:val="22"/>
          <w:szCs w:val="22"/>
        </w:rPr>
        <w:t xml:space="preserve"> the quantity of antibiotic use and </w:t>
      </w:r>
      <w:r w:rsidR="0040246A">
        <w:rPr>
          <w:sz w:val="22"/>
          <w:szCs w:val="22"/>
        </w:rPr>
        <w:t xml:space="preserve">to identify </w:t>
      </w:r>
      <w:r w:rsidR="0040246A" w:rsidRPr="008D5B2C">
        <w:rPr>
          <w:sz w:val="22"/>
          <w:szCs w:val="22"/>
        </w:rPr>
        <w:t xml:space="preserve">the </w:t>
      </w:r>
      <w:r w:rsidR="0040246A">
        <w:rPr>
          <w:sz w:val="22"/>
          <w:szCs w:val="22"/>
        </w:rPr>
        <w:t>appropriateness of</w:t>
      </w:r>
      <w:r w:rsidR="0040246A" w:rsidRPr="008D5B2C">
        <w:rPr>
          <w:sz w:val="22"/>
          <w:szCs w:val="22"/>
        </w:rPr>
        <w:t xml:space="preserve"> antibiotic</w:t>
      </w:r>
      <w:r w:rsidR="0040246A">
        <w:rPr>
          <w:sz w:val="22"/>
          <w:szCs w:val="22"/>
        </w:rPr>
        <w:t xml:space="preserve"> prescription</w:t>
      </w:r>
      <w:r w:rsidR="0040246A" w:rsidRPr="008D5B2C">
        <w:rPr>
          <w:sz w:val="22"/>
          <w:szCs w:val="22"/>
        </w:rPr>
        <w:t xml:space="preserve">s </w:t>
      </w:r>
      <w:r w:rsidR="0040246A">
        <w:rPr>
          <w:sz w:val="22"/>
          <w:szCs w:val="22"/>
        </w:rPr>
        <w:t>among hospitalized adult and children patients at the time COVID-19 hit Indonesia</w:t>
      </w:r>
      <w:r w:rsidR="0040246A" w:rsidRPr="008D5B2C">
        <w:rPr>
          <w:sz w:val="22"/>
          <w:szCs w:val="22"/>
        </w:rPr>
        <w:t>.</w:t>
      </w:r>
      <w:r w:rsidR="00DE4EB6" w:rsidRPr="00DE4EB6">
        <w:rPr>
          <w:sz w:val="22"/>
          <w:szCs w:val="22"/>
        </w:rPr>
        <w:t xml:space="preserve"> </w:t>
      </w:r>
    </w:p>
    <w:bookmarkEnd w:id="0"/>
    <w:p w:rsidR="00B024E8" w:rsidRDefault="00B024E8" w:rsidP="00B024E8">
      <w:pPr>
        <w:jc w:val="both"/>
        <w:rPr>
          <w:b/>
          <w:bCs/>
          <w:sz w:val="22"/>
          <w:szCs w:val="22"/>
        </w:rPr>
      </w:pPr>
    </w:p>
    <w:p w:rsidR="00B024E8" w:rsidRDefault="00B024E8" w:rsidP="00B024E8">
      <w:pPr>
        <w:jc w:val="both"/>
        <w:rPr>
          <w:sz w:val="22"/>
          <w:szCs w:val="22"/>
        </w:rPr>
      </w:pPr>
      <w:r w:rsidRPr="00B024E8">
        <w:rPr>
          <w:b/>
          <w:bCs/>
          <w:sz w:val="22"/>
          <w:szCs w:val="22"/>
        </w:rPr>
        <w:t xml:space="preserve">Methods: </w:t>
      </w:r>
      <w:r w:rsidR="0040246A" w:rsidRPr="00737D76">
        <w:rPr>
          <w:sz w:val="22"/>
          <w:szCs w:val="22"/>
        </w:rPr>
        <w:t>This retrospective study was conducted</w:t>
      </w:r>
      <w:r w:rsidR="0040246A">
        <w:rPr>
          <w:sz w:val="22"/>
          <w:szCs w:val="22"/>
        </w:rPr>
        <w:t xml:space="preserve"> </w:t>
      </w:r>
      <w:r w:rsidR="0040246A" w:rsidRPr="008D5B2C">
        <w:rPr>
          <w:sz w:val="22"/>
          <w:szCs w:val="22"/>
        </w:rPr>
        <w:t xml:space="preserve">in three referral hospitals in </w:t>
      </w:r>
      <w:r w:rsidR="0040246A">
        <w:rPr>
          <w:sz w:val="22"/>
          <w:szCs w:val="22"/>
        </w:rPr>
        <w:t xml:space="preserve">East Java Province, </w:t>
      </w:r>
      <w:r w:rsidR="0040246A" w:rsidRPr="008D5B2C">
        <w:rPr>
          <w:sz w:val="22"/>
          <w:szCs w:val="22"/>
        </w:rPr>
        <w:t xml:space="preserve">Indonesia. </w:t>
      </w:r>
      <w:r w:rsidR="0040246A">
        <w:rPr>
          <w:sz w:val="22"/>
          <w:szCs w:val="22"/>
        </w:rPr>
        <w:t>Antibiotics for patients with pneumonia were recorded in a standardized case report form and</w:t>
      </w:r>
      <w:r w:rsidR="0040246A" w:rsidRPr="008D5B2C">
        <w:rPr>
          <w:sz w:val="22"/>
          <w:szCs w:val="22"/>
        </w:rPr>
        <w:t xml:space="preserve"> were</w:t>
      </w:r>
      <w:r w:rsidR="0040246A">
        <w:rPr>
          <w:sz w:val="22"/>
          <w:szCs w:val="22"/>
        </w:rPr>
        <w:t xml:space="preserve"> further</w:t>
      </w:r>
      <w:r w:rsidR="0040246A" w:rsidRPr="008D5B2C">
        <w:rPr>
          <w:sz w:val="22"/>
          <w:szCs w:val="22"/>
        </w:rPr>
        <w:t xml:space="preserve"> analyzed descriptively. Data were analyzed quantitatively using the DDD/100 patient-days and 90% </w:t>
      </w:r>
      <w:r w:rsidR="0040246A">
        <w:rPr>
          <w:sz w:val="22"/>
          <w:szCs w:val="22"/>
        </w:rPr>
        <w:t>drug utilization (</w:t>
      </w:r>
      <w:r w:rsidR="0040246A" w:rsidRPr="008D5B2C">
        <w:rPr>
          <w:sz w:val="22"/>
          <w:szCs w:val="22"/>
        </w:rPr>
        <w:t>DU</w:t>
      </w:r>
      <w:r w:rsidR="0040246A">
        <w:rPr>
          <w:sz w:val="22"/>
          <w:szCs w:val="22"/>
        </w:rPr>
        <w:t>)</w:t>
      </w:r>
      <w:r w:rsidR="0040246A" w:rsidRPr="008D5B2C">
        <w:rPr>
          <w:sz w:val="22"/>
          <w:szCs w:val="22"/>
        </w:rPr>
        <w:t xml:space="preserve"> indicators</w:t>
      </w:r>
      <w:r w:rsidR="0040246A">
        <w:rPr>
          <w:sz w:val="22"/>
          <w:szCs w:val="22"/>
        </w:rPr>
        <w:t>. In addition,</w:t>
      </w:r>
      <w:r w:rsidR="0040246A" w:rsidRPr="008D5B2C">
        <w:rPr>
          <w:sz w:val="22"/>
          <w:szCs w:val="22"/>
        </w:rPr>
        <w:t xml:space="preserve"> </w:t>
      </w:r>
      <w:r w:rsidR="0040246A">
        <w:rPr>
          <w:sz w:val="22"/>
          <w:szCs w:val="22"/>
        </w:rPr>
        <w:t>the appropriateness of antibiotic prescriptions (</w:t>
      </w:r>
      <w:r w:rsidR="0040246A" w:rsidRPr="008D5B2C">
        <w:rPr>
          <w:sz w:val="22"/>
          <w:szCs w:val="22"/>
        </w:rPr>
        <w:t>indication, route, dose, interval, and length of administration</w:t>
      </w:r>
      <w:r w:rsidR="0040246A">
        <w:rPr>
          <w:sz w:val="22"/>
          <w:szCs w:val="22"/>
        </w:rPr>
        <w:t xml:space="preserve">) was analyzed against </w:t>
      </w:r>
      <w:r w:rsidR="0040246A" w:rsidRPr="008D5B2C">
        <w:rPr>
          <w:sz w:val="22"/>
          <w:szCs w:val="22"/>
        </w:rPr>
        <w:t>National Antibiotic Use guidelines</w:t>
      </w:r>
      <w:r w:rsidR="0040246A">
        <w:rPr>
          <w:sz w:val="22"/>
          <w:szCs w:val="22"/>
        </w:rPr>
        <w:t>.</w:t>
      </w:r>
      <w:r w:rsidRPr="00B024E8">
        <w:rPr>
          <w:sz w:val="22"/>
          <w:szCs w:val="22"/>
        </w:rPr>
        <w:t xml:space="preserve"> </w:t>
      </w:r>
    </w:p>
    <w:p w:rsidR="00B024E8" w:rsidRDefault="00B024E8" w:rsidP="00B024E8">
      <w:pPr>
        <w:jc w:val="both"/>
        <w:rPr>
          <w:sz w:val="22"/>
          <w:szCs w:val="22"/>
        </w:rPr>
      </w:pPr>
    </w:p>
    <w:p w:rsidR="00A12584" w:rsidRDefault="00B024E8" w:rsidP="00EA3532">
      <w:pPr>
        <w:jc w:val="both"/>
        <w:rPr>
          <w:sz w:val="22"/>
          <w:szCs w:val="22"/>
        </w:rPr>
      </w:pPr>
      <w:r w:rsidRPr="00B024E8">
        <w:rPr>
          <w:b/>
          <w:bCs/>
          <w:sz w:val="22"/>
          <w:szCs w:val="22"/>
        </w:rPr>
        <w:t>Results:</w:t>
      </w:r>
      <w:r w:rsidRPr="00B024E8">
        <w:rPr>
          <w:sz w:val="22"/>
          <w:szCs w:val="22"/>
        </w:rPr>
        <w:t xml:space="preserve"> </w:t>
      </w:r>
      <w:r w:rsidR="00A12584">
        <w:rPr>
          <w:sz w:val="22"/>
          <w:szCs w:val="22"/>
        </w:rPr>
        <w:t>Antibiotic prescriptions from</w:t>
      </w:r>
      <w:r w:rsidR="00A12584" w:rsidRPr="008D5B2C">
        <w:rPr>
          <w:sz w:val="22"/>
          <w:szCs w:val="22"/>
        </w:rPr>
        <w:t xml:space="preserve"> 181 patients (143 adults and 38 children)</w:t>
      </w:r>
      <w:r w:rsidR="00A12584">
        <w:rPr>
          <w:sz w:val="22"/>
          <w:szCs w:val="22"/>
        </w:rPr>
        <w:t xml:space="preserve"> were included in this study</w:t>
      </w:r>
      <w:r w:rsidR="00A12584" w:rsidRPr="008D5B2C">
        <w:rPr>
          <w:sz w:val="22"/>
          <w:szCs w:val="22"/>
        </w:rPr>
        <w:t>.</w:t>
      </w:r>
      <w:r w:rsidR="00A12584">
        <w:rPr>
          <w:sz w:val="22"/>
          <w:szCs w:val="22"/>
        </w:rPr>
        <w:t xml:space="preserve"> The</w:t>
      </w:r>
      <w:r w:rsidR="00A12584" w:rsidRPr="008D5B2C">
        <w:rPr>
          <w:sz w:val="22"/>
          <w:szCs w:val="22"/>
        </w:rPr>
        <w:t xml:space="preserve"> total DDD/100 patient-days value </w:t>
      </w:r>
      <w:r w:rsidR="00A12584">
        <w:rPr>
          <w:sz w:val="22"/>
          <w:szCs w:val="22"/>
        </w:rPr>
        <w:t>found in this study were</w:t>
      </w:r>
      <w:r w:rsidR="00A12584" w:rsidRPr="008D5B2C">
        <w:rPr>
          <w:sz w:val="22"/>
          <w:szCs w:val="22"/>
        </w:rPr>
        <w:t xml:space="preserve"> </w:t>
      </w:r>
      <w:r w:rsidR="00A12584">
        <w:rPr>
          <w:sz w:val="22"/>
          <w:szCs w:val="22"/>
        </w:rPr>
        <w:t xml:space="preserve">77.89 </w:t>
      </w:r>
      <w:r w:rsidR="00A12584" w:rsidRPr="008D5B2C">
        <w:rPr>
          <w:sz w:val="22"/>
          <w:szCs w:val="22"/>
        </w:rPr>
        <w:t xml:space="preserve">DDD/100 patient-days </w:t>
      </w:r>
      <w:r w:rsidR="00A12584">
        <w:rPr>
          <w:sz w:val="22"/>
          <w:szCs w:val="22"/>
        </w:rPr>
        <w:t xml:space="preserve">and 18.97 </w:t>
      </w:r>
      <w:r w:rsidR="00A12584" w:rsidRPr="008D5B2C">
        <w:rPr>
          <w:sz w:val="22"/>
          <w:szCs w:val="22"/>
        </w:rPr>
        <w:t>DDD/100 patient-days</w:t>
      </w:r>
      <w:r w:rsidR="00906070">
        <w:rPr>
          <w:sz w:val="22"/>
          <w:szCs w:val="22"/>
        </w:rPr>
        <w:t>,</w:t>
      </w:r>
      <w:r w:rsidR="00A12584">
        <w:rPr>
          <w:sz w:val="22"/>
          <w:szCs w:val="22"/>
        </w:rPr>
        <w:t xml:space="preserve"> in </w:t>
      </w:r>
      <w:r w:rsidR="00A12584" w:rsidRPr="008D5B2C">
        <w:rPr>
          <w:sz w:val="22"/>
          <w:szCs w:val="22"/>
        </w:rPr>
        <w:t>adults and children</w:t>
      </w:r>
      <w:r w:rsidR="00A12584">
        <w:rPr>
          <w:sz w:val="22"/>
          <w:szCs w:val="22"/>
        </w:rPr>
        <w:t>, respectively</w:t>
      </w:r>
      <w:r w:rsidR="00A12584" w:rsidRPr="008D5B2C">
        <w:rPr>
          <w:sz w:val="22"/>
          <w:szCs w:val="22"/>
        </w:rPr>
        <w:t>. The most commonly prescribed antibiotics in adult</w:t>
      </w:r>
      <w:r w:rsidR="00A12584">
        <w:rPr>
          <w:sz w:val="22"/>
          <w:szCs w:val="22"/>
        </w:rPr>
        <w:t xml:space="preserve"> patients</w:t>
      </w:r>
      <w:r w:rsidR="00A12584" w:rsidRPr="008D5B2C">
        <w:rPr>
          <w:sz w:val="22"/>
          <w:szCs w:val="22"/>
        </w:rPr>
        <w:t xml:space="preserve"> were fluoroquinolone (moxifloxacin, levofloxacin)</w:t>
      </w:r>
      <w:r w:rsidR="00A12584">
        <w:rPr>
          <w:sz w:val="22"/>
          <w:szCs w:val="22"/>
        </w:rPr>
        <w:t>, while beta-lactam</w:t>
      </w:r>
      <w:r w:rsidR="00A12584" w:rsidRPr="008D5B2C">
        <w:rPr>
          <w:sz w:val="22"/>
          <w:szCs w:val="22"/>
        </w:rPr>
        <w:t xml:space="preserve"> </w:t>
      </w:r>
      <w:r w:rsidR="00A12584">
        <w:rPr>
          <w:sz w:val="22"/>
          <w:szCs w:val="22"/>
        </w:rPr>
        <w:t>(</w:t>
      </w:r>
      <w:r w:rsidR="00A12584" w:rsidRPr="008D5B2C">
        <w:rPr>
          <w:sz w:val="22"/>
          <w:szCs w:val="22"/>
        </w:rPr>
        <w:t>ceftriaxone and ampicillin-sulbactam</w:t>
      </w:r>
      <w:r w:rsidR="00A12584">
        <w:rPr>
          <w:sz w:val="22"/>
          <w:szCs w:val="22"/>
        </w:rPr>
        <w:t>)</w:t>
      </w:r>
      <w:r w:rsidR="00A12584" w:rsidRPr="008D5B2C">
        <w:rPr>
          <w:sz w:val="22"/>
          <w:szCs w:val="22"/>
        </w:rPr>
        <w:t xml:space="preserve"> </w:t>
      </w:r>
      <w:r w:rsidR="00A12584">
        <w:rPr>
          <w:sz w:val="22"/>
          <w:szCs w:val="22"/>
        </w:rPr>
        <w:t>were commonly prescribed among children patients</w:t>
      </w:r>
      <w:r w:rsidR="00A12584" w:rsidRPr="008D5B2C">
        <w:rPr>
          <w:sz w:val="22"/>
          <w:szCs w:val="22"/>
        </w:rPr>
        <w:t>. Antibiotics included in the 90%</w:t>
      </w:r>
      <w:r w:rsidR="00A12584">
        <w:rPr>
          <w:sz w:val="22"/>
          <w:szCs w:val="22"/>
        </w:rPr>
        <w:t xml:space="preserve"> DU among </w:t>
      </w:r>
      <w:r w:rsidR="00A12584" w:rsidRPr="008D5B2C">
        <w:rPr>
          <w:sz w:val="22"/>
          <w:szCs w:val="22"/>
        </w:rPr>
        <w:t>adult patients were moxifloxacin, ceftriaxone, azithromycin, levofloxacin</w:t>
      </w:r>
      <w:r w:rsidR="00A12584">
        <w:rPr>
          <w:sz w:val="22"/>
          <w:szCs w:val="22"/>
        </w:rPr>
        <w:t>, and meropenem</w:t>
      </w:r>
      <w:r w:rsidR="00A12584" w:rsidRPr="008D5B2C">
        <w:rPr>
          <w:sz w:val="22"/>
          <w:szCs w:val="22"/>
        </w:rPr>
        <w:t xml:space="preserve">; whereas </w:t>
      </w:r>
      <w:r w:rsidR="00A12584">
        <w:rPr>
          <w:sz w:val="22"/>
          <w:szCs w:val="22"/>
        </w:rPr>
        <w:t>among</w:t>
      </w:r>
      <w:r w:rsidR="00A12584" w:rsidRPr="008D5B2C">
        <w:rPr>
          <w:sz w:val="22"/>
          <w:szCs w:val="22"/>
        </w:rPr>
        <w:t xml:space="preserve"> children</w:t>
      </w:r>
      <w:r w:rsidR="00A12584">
        <w:rPr>
          <w:sz w:val="22"/>
          <w:szCs w:val="22"/>
        </w:rPr>
        <w:t xml:space="preserve"> patients</w:t>
      </w:r>
      <w:r w:rsidR="00A12584" w:rsidRPr="008D5B2C">
        <w:rPr>
          <w:sz w:val="22"/>
          <w:szCs w:val="22"/>
        </w:rPr>
        <w:t xml:space="preserve"> were </w:t>
      </w:r>
      <w:r w:rsidR="00A12584">
        <w:rPr>
          <w:sz w:val="22"/>
          <w:szCs w:val="22"/>
        </w:rPr>
        <w:t>ceftriaxone and ampicillin sulbactam</w:t>
      </w:r>
      <w:r w:rsidR="00A12584" w:rsidRPr="008D5B2C">
        <w:rPr>
          <w:sz w:val="22"/>
          <w:szCs w:val="22"/>
        </w:rPr>
        <w:t xml:space="preserve">. </w:t>
      </w:r>
      <w:r w:rsidR="00EA3532">
        <w:rPr>
          <w:sz w:val="22"/>
          <w:szCs w:val="22"/>
        </w:rPr>
        <w:t xml:space="preserve">Compared with the recommendation from the National Antibiotic Use guidelines, the appropriate dose and interval among adult patients were 45.05% and 25.27%, respectively, whilst among children patients were 18.42% and 34.21%, respectively. </w:t>
      </w:r>
    </w:p>
    <w:p w:rsidR="00B024E8" w:rsidRDefault="00B024E8" w:rsidP="00B024E8">
      <w:pPr>
        <w:jc w:val="both"/>
        <w:rPr>
          <w:b/>
          <w:bCs/>
          <w:sz w:val="22"/>
          <w:szCs w:val="22"/>
        </w:rPr>
      </w:pPr>
    </w:p>
    <w:p w:rsidR="00D42DA3" w:rsidRPr="009D254C" w:rsidRDefault="00B024E8" w:rsidP="00B024E8">
      <w:pPr>
        <w:jc w:val="both"/>
        <w:rPr>
          <w:sz w:val="22"/>
          <w:szCs w:val="22"/>
        </w:rPr>
      </w:pPr>
      <w:r w:rsidRPr="00B024E8">
        <w:rPr>
          <w:b/>
          <w:bCs/>
          <w:sz w:val="22"/>
          <w:szCs w:val="22"/>
        </w:rPr>
        <w:t>Conclusions:</w:t>
      </w:r>
      <w:r w:rsidRPr="00B024E8">
        <w:rPr>
          <w:sz w:val="22"/>
          <w:szCs w:val="22"/>
        </w:rPr>
        <w:t xml:space="preserve"> </w:t>
      </w:r>
      <w:r w:rsidR="004357CA" w:rsidRPr="008D5B2C">
        <w:rPr>
          <w:sz w:val="22"/>
          <w:szCs w:val="22"/>
        </w:rPr>
        <w:t>The antibiotic use for pneumonia was high, more than 70% on average. The number of DDD/100 patients in children has to be interpreted carefully because DDD was counted for adults with 70kg weight</w:t>
      </w:r>
      <w:r w:rsidR="004357CA" w:rsidRPr="00B024E8">
        <w:rPr>
          <w:sz w:val="22"/>
          <w:szCs w:val="22"/>
        </w:rPr>
        <w:t>.</w:t>
      </w:r>
    </w:p>
    <w:p w:rsidR="00D42DA3" w:rsidRPr="009D254C" w:rsidRDefault="00D42DA3" w:rsidP="00D42DA3">
      <w:pPr>
        <w:ind w:firstLine="720"/>
        <w:jc w:val="both"/>
        <w:rPr>
          <w:sz w:val="22"/>
          <w:szCs w:val="22"/>
        </w:rPr>
      </w:pPr>
    </w:p>
    <w:p w:rsidR="00D42DA3" w:rsidRPr="009D254C" w:rsidRDefault="00D42DA3" w:rsidP="00D42DA3">
      <w:pPr>
        <w:ind w:firstLine="720"/>
        <w:jc w:val="both"/>
        <w:rPr>
          <w:sz w:val="22"/>
          <w:szCs w:val="22"/>
        </w:rPr>
      </w:pPr>
    </w:p>
    <w:p w:rsidR="00D42DA3" w:rsidRPr="009D254C" w:rsidRDefault="00D42DA3" w:rsidP="00D42DA3">
      <w:pPr>
        <w:jc w:val="both"/>
        <w:rPr>
          <w:sz w:val="22"/>
          <w:szCs w:val="22"/>
        </w:rPr>
      </w:pPr>
      <w:r w:rsidRPr="009D254C">
        <w:rPr>
          <w:b/>
          <w:bCs/>
          <w:sz w:val="22"/>
          <w:szCs w:val="22"/>
        </w:rPr>
        <w:t>KEYWORDS:</w:t>
      </w:r>
      <w:r w:rsidRPr="009D254C">
        <w:rPr>
          <w:sz w:val="22"/>
          <w:szCs w:val="22"/>
        </w:rPr>
        <w:t xml:space="preserve"> </w:t>
      </w:r>
      <w:r w:rsidR="004357CA">
        <w:rPr>
          <w:sz w:val="22"/>
          <w:szCs w:val="22"/>
        </w:rPr>
        <w:t>antibiotic consumption</w:t>
      </w:r>
      <w:r w:rsidR="004357CA" w:rsidRPr="009D254C">
        <w:rPr>
          <w:sz w:val="22"/>
          <w:szCs w:val="22"/>
        </w:rPr>
        <w:t xml:space="preserve">; </w:t>
      </w:r>
      <w:r w:rsidR="004357CA">
        <w:rPr>
          <w:sz w:val="22"/>
          <w:szCs w:val="22"/>
        </w:rPr>
        <w:t>antibiotic stewardship</w:t>
      </w:r>
      <w:r w:rsidR="004357CA" w:rsidRPr="009D254C">
        <w:rPr>
          <w:sz w:val="22"/>
          <w:szCs w:val="22"/>
        </w:rPr>
        <w:t xml:space="preserve">; </w:t>
      </w:r>
      <w:r w:rsidR="004357CA">
        <w:rPr>
          <w:sz w:val="22"/>
          <w:szCs w:val="22"/>
        </w:rPr>
        <w:t>pneumonia</w:t>
      </w:r>
      <w:r w:rsidR="004357CA" w:rsidRPr="009D254C">
        <w:rPr>
          <w:sz w:val="22"/>
          <w:szCs w:val="22"/>
        </w:rPr>
        <w:t xml:space="preserve">; </w:t>
      </w:r>
      <w:r w:rsidR="004357CA">
        <w:rPr>
          <w:sz w:val="22"/>
          <w:szCs w:val="22"/>
        </w:rPr>
        <w:t>hospital</w:t>
      </w:r>
      <w:r w:rsidR="004357CA" w:rsidRPr="009D254C">
        <w:rPr>
          <w:sz w:val="22"/>
          <w:szCs w:val="22"/>
        </w:rPr>
        <w:t xml:space="preserve">; </w:t>
      </w:r>
      <w:r w:rsidR="004357CA">
        <w:rPr>
          <w:sz w:val="22"/>
          <w:szCs w:val="22"/>
        </w:rPr>
        <w:t>pediatric</w:t>
      </w:r>
      <w:r w:rsidR="004357CA" w:rsidRPr="00DE4EB6">
        <w:rPr>
          <w:sz w:val="22"/>
          <w:szCs w:val="22"/>
        </w:rPr>
        <w:t xml:space="preserve">; </w:t>
      </w:r>
      <w:r w:rsidR="004357CA">
        <w:rPr>
          <w:sz w:val="22"/>
          <w:szCs w:val="22"/>
        </w:rPr>
        <w:t>antibiotic quality indicator</w:t>
      </w:r>
    </w:p>
    <w:p w:rsidR="00D42DA3" w:rsidRPr="009D254C" w:rsidRDefault="00D42DA3" w:rsidP="00D42DA3">
      <w:pPr>
        <w:jc w:val="both"/>
        <w:rPr>
          <w:sz w:val="22"/>
          <w:szCs w:val="22"/>
        </w:rPr>
      </w:pPr>
    </w:p>
    <w:p w:rsidR="002A1B71" w:rsidRDefault="002A1B71"/>
    <w:sectPr w:rsidR="002A1B71" w:rsidSect="00F65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3"/>
  <w:proofState w:spelling="clean" w:grammar="clean"/>
  <w:defaultTabStop w:val="720"/>
  <w:characterSpacingControl w:val="doNotCompress"/>
  <w:compat>
    <w:applyBreakingRules/>
  </w:compat>
  <w:rsids>
    <w:rsidRoot w:val="00D42DA3"/>
    <w:rsid w:val="00097C2D"/>
    <w:rsid w:val="000E74F9"/>
    <w:rsid w:val="001060E0"/>
    <w:rsid w:val="001348BB"/>
    <w:rsid w:val="00156C25"/>
    <w:rsid w:val="002A1B71"/>
    <w:rsid w:val="00347350"/>
    <w:rsid w:val="0040246A"/>
    <w:rsid w:val="004357CA"/>
    <w:rsid w:val="004423A9"/>
    <w:rsid w:val="00637B98"/>
    <w:rsid w:val="00671EFC"/>
    <w:rsid w:val="00716E8D"/>
    <w:rsid w:val="007963F1"/>
    <w:rsid w:val="007B065D"/>
    <w:rsid w:val="00906070"/>
    <w:rsid w:val="00A12584"/>
    <w:rsid w:val="00AD75D5"/>
    <w:rsid w:val="00B024E8"/>
    <w:rsid w:val="00D42DA3"/>
    <w:rsid w:val="00DA107C"/>
    <w:rsid w:val="00DE4EB6"/>
    <w:rsid w:val="00EA3532"/>
    <w:rsid w:val="00F0099C"/>
    <w:rsid w:val="00F65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D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DA3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basedOn w:val="DefaultParagraphFont"/>
    <w:link w:val="Header"/>
    <w:uiPriority w:val="99"/>
    <w:rsid w:val="00D42DA3"/>
    <w:rPr>
      <w:rFonts w:ascii="Times New Roman" w:eastAsia="Times New Roman" w:hAnsi="Times New Roman" w:cs="Times New Roman"/>
      <w:kern w:val="0"/>
      <w:sz w:val="24"/>
      <w:szCs w:val="24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024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3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321"/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0E0"/>
    <w:rPr>
      <w:rFonts w:ascii="Times New Roman" w:eastAsia="Times New Roman" w:hAnsi="Times New Roman" w:cs="Times New Roman"/>
      <w:b/>
      <w:bCs/>
      <w:kern w:val="0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adminS2farmasi</cp:lastModifiedBy>
  <cp:revision>2</cp:revision>
  <dcterms:created xsi:type="dcterms:W3CDTF">2024-04-28T13:18:00Z</dcterms:created>
  <dcterms:modified xsi:type="dcterms:W3CDTF">2024-04-28T13:18:00Z</dcterms:modified>
</cp:coreProperties>
</file>