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0BE50" w14:textId="423C342F" w:rsidR="00F94AFC" w:rsidRPr="00F251A5" w:rsidRDefault="00F94AFC" w:rsidP="00F94AFC">
      <w:pPr>
        <w:autoSpaceDE w:val="0"/>
        <w:autoSpaceDN w:val="0"/>
        <w:adjustRightInd w:val="0"/>
        <w:spacing w:after="0" w:line="240" w:lineRule="auto"/>
        <w:jc w:val="center"/>
        <w:rPr>
          <w:rFonts w:ascii="Palatino Linotype" w:hAnsi="Palatino Linotype"/>
          <w:b/>
          <w:bCs/>
          <w:color w:val="000000"/>
          <w:sz w:val="24"/>
          <w:szCs w:val="24"/>
          <w:lang w:val="id-ID" w:eastAsia="en-MY"/>
        </w:rPr>
      </w:pPr>
    </w:p>
    <w:p w14:paraId="4031C20B" w14:textId="77777777" w:rsidR="00E243DD" w:rsidRDefault="00E243DD" w:rsidP="006E148E">
      <w:pPr>
        <w:autoSpaceDE w:val="0"/>
        <w:autoSpaceDN w:val="0"/>
        <w:adjustRightInd w:val="0"/>
        <w:spacing w:after="0" w:line="240" w:lineRule="auto"/>
        <w:jc w:val="center"/>
        <w:rPr>
          <w:rFonts w:ascii="Palatino Linotype" w:eastAsia="Times New Roman" w:hAnsi="Palatino Linotype"/>
          <w:b/>
          <w:bCs/>
          <w:color w:val="000000"/>
          <w:lang w:val="en-US" w:eastAsia="en-MY"/>
        </w:rPr>
      </w:pPr>
    </w:p>
    <w:p w14:paraId="235DDC87" w14:textId="77777777" w:rsidR="00500EA1" w:rsidRPr="000D4CAD" w:rsidRDefault="00500EA1" w:rsidP="006E148E">
      <w:pPr>
        <w:autoSpaceDE w:val="0"/>
        <w:autoSpaceDN w:val="0"/>
        <w:adjustRightInd w:val="0"/>
        <w:spacing w:after="0" w:line="240" w:lineRule="auto"/>
        <w:jc w:val="center"/>
        <w:rPr>
          <w:rFonts w:ascii="Palatino Linotype" w:eastAsia="Times New Roman" w:hAnsi="Palatino Linotype"/>
          <w:b/>
          <w:bCs/>
          <w:color w:val="000000"/>
          <w:lang w:val="en-US" w:eastAsia="en-MY"/>
        </w:rPr>
      </w:pPr>
    </w:p>
    <w:p w14:paraId="0DDB4638" w14:textId="554EF9E9" w:rsidR="00EB7F85" w:rsidRPr="00EB7F85" w:rsidRDefault="00EB7F85" w:rsidP="00EB7F85">
      <w:pPr>
        <w:autoSpaceDE w:val="0"/>
        <w:autoSpaceDN w:val="0"/>
        <w:adjustRightInd w:val="0"/>
        <w:spacing w:after="0" w:line="240" w:lineRule="auto"/>
        <w:jc w:val="center"/>
        <w:rPr>
          <w:rFonts w:ascii="Palatino Linotype" w:eastAsia="Times New Roman" w:hAnsi="Palatino Linotype"/>
          <w:b/>
          <w:bCs/>
          <w:color w:val="000000"/>
          <w:sz w:val="24"/>
          <w:szCs w:val="24"/>
          <w:lang w:val="en-US" w:eastAsia="en-MY"/>
        </w:rPr>
      </w:pPr>
      <w:r w:rsidRPr="00EB7F85">
        <w:rPr>
          <w:rFonts w:ascii="Palatino Linotype" w:eastAsia="Times New Roman" w:hAnsi="Palatino Linotype"/>
          <w:b/>
          <w:bCs/>
          <w:color w:val="000000"/>
          <w:sz w:val="24"/>
          <w:szCs w:val="24"/>
          <w:lang w:val="en-US" w:eastAsia="en-MY"/>
        </w:rPr>
        <w:t xml:space="preserve">Theraupetic Management of Patients with Evans Syndrome: </w:t>
      </w:r>
      <w:r w:rsidR="001B7A6A">
        <w:rPr>
          <w:rFonts w:ascii="Palatino Linotype" w:eastAsia="Times New Roman" w:hAnsi="Palatino Linotype"/>
          <w:b/>
          <w:bCs/>
          <w:color w:val="000000"/>
          <w:sz w:val="24"/>
          <w:szCs w:val="24"/>
          <w:lang w:val="en-US" w:eastAsia="en-MY"/>
        </w:rPr>
        <w:t>Narrative Review</w:t>
      </w:r>
    </w:p>
    <w:p w14:paraId="31C90390" w14:textId="6D198D16" w:rsidR="00EB7F85" w:rsidRPr="000E3166" w:rsidRDefault="00EB7F85" w:rsidP="00F251A5">
      <w:pPr>
        <w:spacing w:after="0" w:line="240" w:lineRule="auto"/>
        <w:jc w:val="center"/>
        <w:rPr>
          <w:rFonts w:ascii="Palatino Linotype" w:eastAsia="Times New Roman" w:hAnsi="Palatino Linotype"/>
          <w:b/>
          <w:bCs/>
          <w:color w:val="000000"/>
          <w:sz w:val="24"/>
          <w:szCs w:val="24"/>
          <w:lang w:val="sv-SE" w:eastAsia="en-MY"/>
        </w:rPr>
      </w:pPr>
      <w:r w:rsidRPr="000E3166">
        <w:rPr>
          <w:rFonts w:ascii="Palatino Linotype" w:eastAsia="Times New Roman" w:hAnsi="Palatino Linotype"/>
          <w:b/>
          <w:bCs/>
          <w:color w:val="000000"/>
          <w:sz w:val="24"/>
          <w:szCs w:val="24"/>
          <w:lang w:val="sv-SE" w:eastAsia="en-MY"/>
        </w:rPr>
        <w:t xml:space="preserve">Tata Laksana Terapi Pasien dengan Sindrom Evans: Kajian </w:t>
      </w:r>
      <w:r w:rsidR="001B7A6A" w:rsidRPr="000E3166">
        <w:rPr>
          <w:rFonts w:ascii="Palatino Linotype" w:eastAsia="Times New Roman" w:hAnsi="Palatino Linotype"/>
          <w:b/>
          <w:bCs/>
          <w:color w:val="000000"/>
          <w:sz w:val="24"/>
          <w:szCs w:val="24"/>
          <w:lang w:val="sv-SE" w:eastAsia="en-MY"/>
        </w:rPr>
        <w:t>Naratif</w:t>
      </w:r>
    </w:p>
    <w:p w14:paraId="62A51944" w14:textId="10EB6687" w:rsidR="00155655" w:rsidRPr="000E3166" w:rsidRDefault="003336C5" w:rsidP="00F251A5">
      <w:pPr>
        <w:spacing w:after="0" w:line="240" w:lineRule="auto"/>
        <w:jc w:val="center"/>
        <w:rPr>
          <w:rFonts w:ascii="Palatino Linotype" w:hAnsi="Palatino Linotype" w:cs="Times New Roman"/>
          <w:b/>
          <w:sz w:val="16"/>
          <w:szCs w:val="16"/>
          <w:lang w:val="sv-SE"/>
        </w:rPr>
      </w:pPr>
      <w:r w:rsidRPr="000E3166">
        <w:rPr>
          <w:rFonts w:ascii="Palatino Linotype" w:hAnsi="Palatino Linotype" w:cs="Times New Roman"/>
          <w:b/>
          <w:sz w:val="24"/>
          <w:szCs w:val="24"/>
          <w:lang w:val="sv-SE"/>
        </w:rPr>
        <w:t xml:space="preserve"> </w:t>
      </w:r>
    </w:p>
    <w:p w14:paraId="43F3C795" w14:textId="7A3C80E8" w:rsidR="006C697E" w:rsidRPr="000E3166" w:rsidRDefault="006C697E" w:rsidP="006E148E">
      <w:pPr>
        <w:spacing w:after="0" w:line="240" w:lineRule="auto"/>
        <w:ind w:left="90" w:hanging="90"/>
        <w:jc w:val="center"/>
        <w:rPr>
          <w:rFonts w:ascii="Palatino Linotype" w:eastAsia="GulliverRM" w:hAnsi="Palatino Linotype"/>
          <w:i/>
          <w:color w:val="000000"/>
          <w:sz w:val="18"/>
          <w:szCs w:val="18"/>
          <w:lang w:val="sv-SE"/>
        </w:rPr>
      </w:pPr>
    </w:p>
    <w:p w14:paraId="44F0DF9A" w14:textId="77777777" w:rsidR="00375ECE" w:rsidRPr="000E3166" w:rsidRDefault="00375ECE" w:rsidP="00BC015A">
      <w:pPr>
        <w:spacing w:after="0"/>
        <w:jc w:val="center"/>
        <w:rPr>
          <w:rFonts w:ascii="Palatino Linotype" w:eastAsia="Arial" w:hAnsi="Palatino Linotype"/>
          <w:i/>
          <w:iCs/>
          <w:sz w:val="18"/>
          <w:szCs w:val="18"/>
          <w:lang w:val="sv-SE"/>
        </w:rPr>
      </w:pPr>
    </w:p>
    <w:p w14:paraId="79DCB5BA" w14:textId="41D0B1BD" w:rsidR="00BC015A" w:rsidRPr="000E3166" w:rsidRDefault="00BC015A" w:rsidP="00BC015A">
      <w:pPr>
        <w:spacing w:after="0" w:line="240" w:lineRule="auto"/>
        <w:jc w:val="center"/>
        <w:rPr>
          <w:rFonts w:ascii="Palatino Linotype" w:eastAsia="Arial" w:hAnsi="Palatino Linotype"/>
          <w:i/>
          <w:iCs/>
          <w:sz w:val="18"/>
          <w:szCs w:val="18"/>
          <w:lang w:val="sv-SE"/>
        </w:rPr>
        <w:sectPr w:rsidR="00BC015A" w:rsidRPr="000E3166" w:rsidSect="0074412B">
          <w:footerReference w:type="even" r:id="rId8"/>
          <w:footerReference w:type="default" r:id="rId9"/>
          <w:headerReference w:type="first" r:id="rId10"/>
          <w:footerReference w:type="first" r:id="rId11"/>
          <w:footnotePr>
            <w:numFmt w:val="chicago"/>
          </w:footnotePr>
          <w:pgSz w:w="11906" w:h="16838"/>
          <w:pgMar w:top="1028" w:right="1138" w:bottom="850" w:left="1138" w:header="711" w:footer="709" w:gutter="0"/>
          <w:cols w:space="284"/>
          <w:titlePg/>
          <w:docGrid w:linePitch="360"/>
        </w:sectPr>
      </w:pPr>
    </w:p>
    <w:p w14:paraId="02D7197C" w14:textId="77777777" w:rsidR="007319BC" w:rsidRPr="00500EA1" w:rsidRDefault="007319BC" w:rsidP="00095BF6">
      <w:pPr>
        <w:shd w:val="clear" w:color="auto" w:fill="F4B083" w:themeFill="accent2" w:themeFillTint="99"/>
        <w:spacing w:after="0" w:line="240" w:lineRule="auto"/>
        <w:ind w:right="-9"/>
        <w:jc w:val="both"/>
        <w:rPr>
          <w:rFonts w:ascii="Palatino Linotype" w:eastAsia="Times New Roman" w:hAnsi="Palatino Linotype"/>
          <w:b/>
          <w:noProof w:val="0"/>
          <w:lang w:val="en-US"/>
        </w:rPr>
      </w:pPr>
      <w:r w:rsidRPr="00500EA1">
        <w:rPr>
          <w:rFonts w:ascii="Palatino Linotype" w:eastAsia="Times New Roman" w:hAnsi="Palatino Linotype"/>
          <w:b/>
          <w:noProof w:val="0"/>
          <w:lang w:val="en-US"/>
        </w:rPr>
        <w:t>Abstract</w:t>
      </w:r>
    </w:p>
    <w:p w14:paraId="480480AF" w14:textId="3BB02507" w:rsidR="007319BC" w:rsidRDefault="00EB7F85" w:rsidP="00095BF6">
      <w:pPr>
        <w:shd w:val="clear" w:color="auto" w:fill="F4B083" w:themeFill="accent2" w:themeFillTint="99"/>
        <w:spacing w:after="0" w:line="240" w:lineRule="auto"/>
        <w:ind w:right="-9"/>
        <w:jc w:val="both"/>
        <w:rPr>
          <w:rFonts w:ascii="Palatino Linotype" w:hAnsi="Palatino Linotype" w:cs="Times New Roman"/>
          <w:sz w:val="20"/>
          <w:szCs w:val="20"/>
          <w:lang w:val="en-US"/>
        </w:rPr>
      </w:pPr>
      <w:r w:rsidRPr="00EB7F85">
        <w:rPr>
          <w:rFonts w:ascii="Palatino Linotype" w:eastAsia="Times New Roman" w:hAnsi="Palatino Linotype"/>
          <w:noProof w:val="0"/>
          <w:sz w:val="20"/>
          <w:szCs w:val="20"/>
          <w:lang w:val="en-US"/>
        </w:rPr>
        <w:t xml:space="preserve">Evans syndrome is a rare autoimmune disorder characterized by the simultaneous or sequential occurrence of autoimmune hemolytic anemia (AIHA) and immune thrombocytopenic purpura (ITP), and sometimes accompanied by autoimmune neutropenia. The complexity of this syndrome poses significant challenges in diagnosis and therapeutic management, given its chronic, heterogeneous course, and the varying responses of patients to treatment. This </w:t>
      </w:r>
      <w:r w:rsidR="001B7A6A">
        <w:rPr>
          <w:rFonts w:ascii="Palatino Linotype" w:eastAsia="Times New Roman" w:hAnsi="Palatino Linotype"/>
          <w:noProof w:val="0"/>
          <w:sz w:val="20"/>
          <w:szCs w:val="20"/>
          <w:lang w:val="en-US"/>
        </w:rPr>
        <w:t>narrative</w:t>
      </w:r>
      <w:r w:rsidRPr="00EB7F85">
        <w:rPr>
          <w:rFonts w:ascii="Palatino Linotype" w:eastAsia="Times New Roman" w:hAnsi="Palatino Linotype"/>
          <w:noProof w:val="0"/>
          <w:sz w:val="20"/>
          <w:szCs w:val="20"/>
          <w:lang w:val="en-US"/>
        </w:rPr>
        <w:t xml:space="preserve"> review aims to provide a comprehensive overview of diagnostic approaches and current therapeutic options for patients with Evans syndrome. Literature search methods were conducted using the PubMed and Science Direct databases with relevant keywords up to 2025, as well as reviewing references from related articles. The study findings indicate that there is no widely accepted standard protocol for managing Evans syndrome. First-line therapy typically involves steroids and/or IVIG, while second-line therapy includes rituximab, immunosuppressive agents, and thrombopoietin receptor agonists. In severe or refractory cases, splenectomy, biological therapy, or stem cell transplantation may be considered. In conclusion, the management of Evans syndrome is individualized and still heavily dependent on clinical experience and indirect evidence from AIHA and isolated ITP therapy. Further research is needed to develop more specific and evidence-based treatment protocols for Evans syndrome</w:t>
      </w:r>
    </w:p>
    <w:p w14:paraId="5F79679B" w14:textId="601DEE1B" w:rsidR="006E112B" w:rsidRDefault="007319BC" w:rsidP="00095BF6">
      <w:pPr>
        <w:shd w:val="clear" w:color="auto" w:fill="F4B083" w:themeFill="accent2" w:themeFillTint="99"/>
        <w:spacing w:after="0" w:line="240" w:lineRule="auto"/>
        <w:ind w:right="-9"/>
        <w:jc w:val="both"/>
        <w:rPr>
          <w:rFonts w:ascii="Palatino Linotype" w:hAnsi="Palatino Linotype" w:cs="Times New Roman"/>
          <w:sz w:val="20"/>
          <w:szCs w:val="20"/>
          <w:lang w:val="en-US"/>
        </w:rPr>
      </w:pPr>
      <w:r w:rsidRPr="00884056">
        <w:rPr>
          <w:rFonts w:ascii="Palatino Linotype" w:eastAsia="Times New Roman" w:hAnsi="Palatino Linotype"/>
          <w:b/>
          <w:i/>
          <w:noProof w:val="0"/>
          <w:sz w:val="14"/>
          <w:szCs w:val="14"/>
          <w:lang w:val="en-US"/>
        </w:rPr>
        <w:t>Keywords</w:t>
      </w:r>
      <w:r w:rsidRPr="00884056">
        <w:rPr>
          <w:rFonts w:ascii="Palatino Linotype" w:eastAsia="Times New Roman" w:hAnsi="Palatino Linotype"/>
          <w:b/>
          <w:noProof w:val="0"/>
          <w:sz w:val="14"/>
          <w:szCs w:val="14"/>
          <w:lang w:val="en-US"/>
        </w:rPr>
        <w:t>:</w:t>
      </w:r>
      <w:r w:rsidRPr="00884056">
        <w:rPr>
          <w:rFonts w:ascii="Palatino Linotype" w:eastAsia="Times New Roman" w:hAnsi="Palatino Linotype"/>
          <w:noProof w:val="0"/>
          <w:sz w:val="14"/>
          <w:szCs w:val="14"/>
          <w:lang w:val="en-US"/>
        </w:rPr>
        <w:t xml:space="preserve"> </w:t>
      </w:r>
      <w:r w:rsidRPr="00112295">
        <w:rPr>
          <w:rFonts w:ascii="Palatino Linotype" w:hAnsi="Palatino Linotype" w:cs="Times New Roman"/>
          <w:sz w:val="14"/>
          <w:szCs w:val="14"/>
        </w:rPr>
        <w:t xml:space="preserve"> </w:t>
      </w:r>
      <w:r w:rsidRPr="00884056">
        <w:rPr>
          <w:rFonts w:ascii="Palatino Linotype" w:eastAsia="Times New Roman" w:hAnsi="Palatino Linotype"/>
          <w:noProof w:val="0"/>
          <w:sz w:val="14"/>
          <w:szCs w:val="14"/>
          <w:lang w:val="en-US"/>
        </w:rPr>
        <w:t xml:space="preserve"> </w:t>
      </w:r>
      <w:r w:rsidR="00EB7F85" w:rsidRPr="00EB7F85">
        <w:rPr>
          <w:rFonts w:ascii="Palatino Linotype" w:eastAsia="Times New Roman" w:hAnsi="Palatino Linotype"/>
          <w:i/>
          <w:iCs/>
          <w:noProof w:val="0"/>
          <w:sz w:val="14"/>
          <w:szCs w:val="14"/>
          <w:lang w:val="en-US"/>
        </w:rPr>
        <w:t xml:space="preserve">Evans syndrome, </w:t>
      </w:r>
      <w:r w:rsidR="00EB7F85">
        <w:rPr>
          <w:rFonts w:ascii="Palatino Linotype" w:eastAsia="Times New Roman" w:hAnsi="Palatino Linotype"/>
          <w:i/>
          <w:iCs/>
          <w:noProof w:val="0"/>
          <w:sz w:val="14"/>
          <w:szCs w:val="14"/>
          <w:lang w:val="en-US"/>
        </w:rPr>
        <w:t>A</w:t>
      </w:r>
      <w:r w:rsidR="00EB7F85" w:rsidRPr="00EB7F85">
        <w:rPr>
          <w:rFonts w:ascii="Palatino Linotype" w:eastAsia="Times New Roman" w:hAnsi="Palatino Linotype"/>
          <w:i/>
          <w:iCs/>
          <w:noProof w:val="0"/>
          <w:sz w:val="14"/>
          <w:szCs w:val="14"/>
          <w:lang w:val="en-US"/>
        </w:rPr>
        <w:t xml:space="preserve">utoimmune </w:t>
      </w:r>
      <w:r w:rsidR="00EB7F85">
        <w:rPr>
          <w:rFonts w:ascii="Palatino Linotype" w:eastAsia="Times New Roman" w:hAnsi="Palatino Linotype"/>
          <w:i/>
          <w:iCs/>
          <w:noProof w:val="0"/>
          <w:sz w:val="14"/>
          <w:szCs w:val="14"/>
          <w:lang w:val="en-US"/>
        </w:rPr>
        <w:t>H</w:t>
      </w:r>
      <w:r w:rsidR="00EB7F85" w:rsidRPr="00EB7F85">
        <w:rPr>
          <w:rFonts w:ascii="Palatino Linotype" w:eastAsia="Times New Roman" w:hAnsi="Palatino Linotype"/>
          <w:i/>
          <w:iCs/>
          <w:noProof w:val="0"/>
          <w:sz w:val="14"/>
          <w:szCs w:val="14"/>
          <w:lang w:val="en-US"/>
        </w:rPr>
        <w:t xml:space="preserve">emolytic </w:t>
      </w:r>
      <w:r w:rsidR="00EB7F85">
        <w:rPr>
          <w:rFonts w:ascii="Palatino Linotype" w:eastAsia="Times New Roman" w:hAnsi="Palatino Linotype"/>
          <w:i/>
          <w:iCs/>
          <w:noProof w:val="0"/>
          <w:sz w:val="14"/>
          <w:szCs w:val="14"/>
          <w:lang w:val="en-US"/>
        </w:rPr>
        <w:t>A</w:t>
      </w:r>
      <w:r w:rsidR="00EB7F85" w:rsidRPr="00EB7F85">
        <w:rPr>
          <w:rFonts w:ascii="Palatino Linotype" w:eastAsia="Times New Roman" w:hAnsi="Palatino Linotype"/>
          <w:i/>
          <w:iCs/>
          <w:noProof w:val="0"/>
          <w:sz w:val="14"/>
          <w:szCs w:val="14"/>
          <w:lang w:val="en-US"/>
        </w:rPr>
        <w:t>nemia (</w:t>
      </w:r>
      <w:r w:rsidR="00EB7F85">
        <w:rPr>
          <w:rFonts w:ascii="Palatino Linotype" w:eastAsia="Times New Roman" w:hAnsi="Palatino Linotype"/>
          <w:i/>
          <w:iCs/>
          <w:noProof w:val="0"/>
          <w:sz w:val="14"/>
          <w:szCs w:val="14"/>
          <w:lang w:val="en-US"/>
        </w:rPr>
        <w:t>AIHA</w:t>
      </w:r>
      <w:r w:rsidR="00EB7F85" w:rsidRPr="00EB7F85">
        <w:rPr>
          <w:rFonts w:ascii="Palatino Linotype" w:eastAsia="Times New Roman" w:hAnsi="Palatino Linotype"/>
          <w:i/>
          <w:iCs/>
          <w:noProof w:val="0"/>
          <w:sz w:val="14"/>
          <w:szCs w:val="14"/>
          <w:lang w:val="en-US"/>
        </w:rPr>
        <w:t xml:space="preserve">), </w:t>
      </w:r>
      <w:r w:rsidR="00EB7F85">
        <w:rPr>
          <w:rFonts w:ascii="Palatino Linotype" w:eastAsia="Times New Roman" w:hAnsi="Palatino Linotype"/>
          <w:i/>
          <w:iCs/>
          <w:noProof w:val="0"/>
          <w:sz w:val="14"/>
          <w:szCs w:val="14"/>
          <w:lang w:val="en-US"/>
        </w:rPr>
        <w:t>I</w:t>
      </w:r>
      <w:r w:rsidR="00EB7F85" w:rsidRPr="00EB7F85">
        <w:rPr>
          <w:rFonts w:ascii="Palatino Linotype" w:eastAsia="Times New Roman" w:hAnsi="Palatino Linotype"/>
          <w:i/>
          <w:iCs/>
          <w:noProof w:val="0"/>
          <w:sz w:val="14"/>
          <w:szCs w:val="14"/>
          <w:lang w:val="en-US"/>
        </w:rPr>
        <w:t xml:space="preserve">mmune </w:t>
      </w:r>
      <w:r w:rsidR="00EB7F85">
        <w:rPr>
          <w:rFonts w:ascii="Palatino Linotype" w:eastAsia="Times New Roman" w:hAnsi="Palatino Linotype"/>
          <w:i/>
          <w:iCs/>
          <w:noProof w:val="0"/>
          <w:sz w:val="14"/>
          <w:szCs w:val="14"/>
          <w:lang w:val="en-US"/>
        </w:rPr>
        <w:t>T</w:t>
      </w:r>
      <w:r w:rsidR="00EB7F85" w:rsidRPr="00EB7F85">
        <w:rPr>
          <w:rFonts w:ascii="Palatino Linotype" w:eastAsia="Times New Roman" w:hAnsi="Palatino Linotype"/>
          <w:i/>
          <w:iCs/>
          <w:noProof w:val="0"/>
          <w:sz w:val="14"/>
          <w:szCs w:val="14"/>
          <w:lang w:val="en-US"/>
        </w:rPr>
        <w:t xml:space="preserve">hrombocytopenic </w:t>
      </w:r>
      <w:r w:rsidR="00EB7F85">
        <w:rPr>
          <w:rFonts w:ascii="Palatino Linotype" w:eastAsia="Times New Roman" w:hAnsi="Palatino Linotype"/>
          <w:i/>
          <w:iCs/>
          <w:noProof w:val="0"/>
          <w:sz w:val="14"/>
          <w:szCs w:val="14"/>
          <w:lang w:val="en-US"/>
        </w:rPr>
        <w:t>P</w:t>
      </w:r>
      <w:r w:rsidR="00EB7F85" w:rsidRPr="00EB7F85">
        <w:rPr>
          <w:rFonts w:ascii="Palatino Linotype" w:eastAsia="Times New Roman" w:hAnsi="Palatino Linotype"/>
          <w:i/>
          <w:iCs/>
          <w:noProof w:val="0"/>
          <w:sz w:val="14"/>
          <w:szCs w:val="14"/>
          <w:lang w:val="en-US"/>
        </w:rPr>
        <w:t>urpura (ITP), Management Therapy</w:t>
      </w:r>
    </w:p>
    <w:p w14:paraId="6F1EA046" w14:textId="77777777" w:rsidR="007319BC" w:rsidRDefault="007319BC" w:rsidP="00095BF6">
      <w:pPr>
        <w:shd w:val="clear" w:color="auto" w:fill="F4B083" w:themeFill="accent2" w:themeFillTint="99"/>
        <w:spacing w:after="0" w:line="240" w:lineRule="auto"/>
        <w:ind w:right="-9"/>
        <w:jc w:val="both"/>
        <w:rPr>
          <w:rFonts w:ascii="Palatino Linotype" w:hAnsi="Palatino Linotype" w:cs="Times New Roman"/>
          <w:sz w:val="20"/>
          <w:szCs w:val="20"/>
          <w:lang w:val="en-US"/>
        </w:rPr>
      </w:pPr>
    </w:p>
    <w:p w14:paraId="1613E0E5" w14:textId="77777777" w:rsidR="0089094B" w:rsidRDefault="0089094B" w:rsidP="00500EA1">
      <w:pPr>
        <w:spacing w:after="0" w:line="240" w:lineRule="auto"/>
        <w:jc w:val="both"/>
        <w:rPr>
          <w:rFonts w:ascii="Palatino Linotype" w:eastAsia="Times New Roman" w:hAnsi="Palatino Linotype"/>
          <w:b/>
          <w:noProof w:val="0"/>
          <w:lang w:val="en-US"/>
        </w:rPr>
      </w:pPr>
    </w:p>
    <w:p w14:paraId="0CB77867" w14:textId="77777777" w:rsidR="00095BF6" w:rsidRDefault="00095BF6" w:rsidP="00500EA1">
      <w:pPr>
        <w:spacing w:after="0" w:line="240" w:lineRule="auto"/>
        <w:jc w:val="both"/>
        <w:rPr>
          <w:rFonts w:ascii="Palatino Linotype" w:eastAsia="Times New Roman" w:hAnsi="Palatino Linotype"/>
          <w:b/>
          <w:noProof w:val="0"/>
          <w:lang w:val="en-US"/>
        </w:rPr>
      </w:pPr>
    </w:p>
    <w:p w14:paraId="5EC9C149" w14:textId="16109AEB" w:rsidR="007319BC" w:rsidRPr="007319BC" w:rsidRDefault="007319BC" w:rsidP="00095BF6">
      <w:pPr>
        <w:shd w:val="clear" w:color="auto" w:fill="F4B083" w:themeFill="accent2" w:themeFillTint="99"/>
        <w:spacing w:after="0" w:line="240" w:lineRule="auto"/>
        <w:ind w:right="-9"/>
        <w:jc w:val="both"/>
        <w:rPr>
          <w:rFonts w:ascii="Palatino Linotype" w:hAnsi="Palatino Linotype"/>
          <w:noProof w:val="0"/>
          <w:sz w:val="16"/>
          <w:szCs w:val="16"/>
          <w:lang w:val="en-US"/>
        </w:rPr>
      </w:pPr>
      <w:proofErr w:type="spellStart"/>
      <w:r w:rsidRPr="007319BC">
        <w:rPr>
          <w:rFonts w:ascii="Palatino Linotype" w:eastAsia="Times New Roman" w:hAnsi="Palatino Linotype"/>
          <w:b/>
          <w:noProof w:val="0"/>
          <w:lang w:val="en-US"/>
        </w:rPr>
        <w:t>Abstrak</w:t>
      </w:r>
      <w:proofErr w:type="spellEnd"/>
    </w:p>
    <w:p w14:paraId="24CF533B" w14:textId="2B45F146" w:rsidR="00EB7F85" w:rsidRDefault="00EB7F85" w:rsidP="00095BF6">
      <w:pPr>
        <w:shd w:val="clear" w:color="auto" w:fill="F4B083" w:themeFill="accent2" w:themeFillTint="99"/>
        <w:spacing w:after="0" w:line="240" w:lineRule="auto"/>
        <w:ind w:right="-9"/>
        <w:jc w:val="both"/>
        <w:rPr>
          <w:rFonts w:ascii="Palatino Linotype" w:hAnsi="Palatino Linotype"/>
          <w:noProof w:val="0"/>
          <w:sz w:val="20"/>
          <w:szCs w:val="20"/>
          <w:lang w:val="en-US"/>
        </w:rPr>
      </w:pPr>
      <w:proofErr w:type="spellStart"/>
      <w:r w:rsidRPr="00EB7F85">
        <w:rPr>
          <w:rFonts w:ascii="Palatino Linotype" w:hAnsi="Palatino Linotype"/>
          <w:noProof w:val="0"/>
          <w:sz w:val="20"/>
          <w:szCs w:val="20"/>
          <w:lang w:val="en-US"/>
        </w:rPr>
        <w:t>Sindrom</w:t>
      </w:r>
      <w:proofErr w:type="spellEnd"/>
      <w:r w:rsidRPr="00EB7F85">
        <w:rPr>
          <w:rFonts w:ascii="Palatino Linotype" w:hAnsi="Palatino Linotype"/>
          <w:noProof w:val="0"/>
          <w:sz w:val="20"/>
          <w:szCs w:val="20"/>
          <w:lang w:val="en-US"/>
        </w:rPr>
        <w:t xml:space="preserve"> Evans </w:t>
      </w:r>
      <w:proofErr w:type="spellStart"/>
      <w:r w:rsidRPr="00EB7F85">
        <w:rPr>
          <w:rFonts w:ascii="Palatino Linotype" w:hAnsi="Palatino Linotype"/>
          <w:noProof w:val="0"/>
          <w:sz w:val="20"/>
          <w:szCs w:val="20"/>
          <w:lang w:val="en-US"/>
        </w:rPr>
        <w:t>merupakan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kelainan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autoimun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langka</w:t>
      </w:r>
      <w:proofErr w:type="spellEnd"/>
      <w:r w:rsidRPr="00EB7F85">
        <w:rPr>
          <w:rFonts w:ascii="Palatino Linotype" w:hAnsi="Palatino Linotype"/>
          <w:noProof w:val="0"/>
          <w:sz w:val="20"/>
          <w:szCs w:val="20"/>
          <w:lang w:val="en-US"/>
        </w:rPr>
        <w:t xml:space="preserve"> yang </w:t>
      </w:r>
      <w:proofErr w:type="spellStart"/>
      <w:r w:rsidRPr="00EB7F85">
        <w:rPr>
          <w:rFonts w:ascii="Palatino Linotype" w:hAnsi="Palatino Linotype"/>
          <w:noProof w:val="0"/>
          <w:sz w:val="20"/>
          <w:szCs w:val="20"/>
          <w:lang w:val="en-US"/>
        </w:rPr>
        <w:t>ditandai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dengan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terjadinya</w:t>
      </w:r>
      <w:proofErr w:type="spellEnd"/>
      <w:r w:rsidRPr="00EB7F85">
        <w:rPr>
          <w:rFonts w:ascii="Palatino Linotype" w:hAnsi="Palatino Linotype"/>
          <w:noProof w:val="0"/>
          <w:sz w:val="20"/>
          <w:szCs w:val="20"/>
          <w:lang w:val="en-US"/>
        </w:rPr>
        <w:t xml:space="preserve"> anemia </w:t>
      </w:r>
      <w:proofErr w:type="spellStart"/>
      <w:r w:rsidRPr="00EB7F85">
        <w:rPr>
          <w:rFonts w:ascii="Palatino Linotype" w:hAnsi="Palatino Linotype"/>
          <w:noProof w:val="0"/>
          <w:sz w:val="20"/>
          <w:szCs w:val="20"/>
          <w:lang w:val="en-US"/>
        </w:rPr>
        <w:t>hemolitik</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autoimun</w:t>
      </w:r>
      <w:proofErr w:type="spellEnd"/>
      <w:r w:rsidRPr="00EB7F85">
        <w:rPr>
          <w:rFonts w:ascii="Palatino Linotype" w:hAnsi="Palatino Linotype"/>
          <w:noProof w:val="0"/>
          <w:sz w:val="20"/>
          <w:szCs w:val="20"/>
          <w:lang w:val="en-US"/>
        </w:rPr>
        <w:t xml:space="preserve"> (AIHA) dan purpura </w:t>
      </w:r>
      <w:proofErr w:type="spellStart"/>
      <w:r w:rsidRPr="00EB7F85">
        <w:rPr>
          <w:rFonts w:ascii="Palatino Linotype" w:hAnsi="Palatino Linotype"/>
          <w:noProof w:val="0"/>
          <w:sz w:val="20"/>
          <w:szCs w:val="20"/>
          <w:lang w:val="en-US"/>
        </w:rPr>
        <w:t>trombositopenik</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imun</w:t>
      </w:r>
      <w:proofErr w:type="spellEnd"/>
      <w:r w:rsidRPr="00EB7F85">
        <w:rPr>
          <w:rFonts w:ascii="Palatino Linotype" w:hAnsi="Palatino Linotype"/>
          <w:noProof w:val="0"/>
          <w:sz w:val="20"/>
          <w:szCs w:val="20"/>
          <w:lang w:val="en-US"/>
        </w:rPr>
        <w:t xml:space="preserve"> (ITP) </w:t>
      </w:r>
      <w:proofErr w:type="spellStart"/>
      <w:r w:rsidRPr="00EB7F85">
        <w:rPr>
          <w:rFonts w:ascii="Palatino Linotype" w:hAnsi="Palatino Linotype"/>
          <w:noProof w:val="0"/>
          <w:sz w:val="20"/>
          <w:szCs w:val="20"/>
          <w:lang w:val="en-US"/>
        </w:rPr>
        <w:t>secara</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bersamaan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atau</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berurutan</w:t>
      </w:r>
      <w:proofErr w:type="spellEnd"/>
      <w:r w:rsidRPr="00EB7F85">
        <w:rPr>
          <w:rFonts w:ascii="Palatino Linotype" w:hAnsi="Palatino Linotype"/>
          <w:noProof w:val="0"/>
          <w:sz w:val="20"/>
          <w:szCs w:val="20"/>
          <w:lang w:val="en-US"/>
        </w:rPr>
        <w:t xml:space="preserve">, dan </w:t>
      </w:r>
      <w:proofErr w:type="spellStart"/>
      <w:r w:rsidRPr="00EB7F85">
        <w:rPr>
          <w:rFonts w:ascii="Palatino Linotype" w:hAnsi="Palatino Linotype"/>
          <w:noProof w:val="0"/>
          <w:sz w:val="20"/>
          <w:szCs w:val="20"/>
          <w:lang w:val="en-US"/>
        </w:rPr>
        <w:t>kadang</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disertai</w:t>
      </w:r>
      <w:proofErr w:type="spellEnd"/>
      <w:r w:rsidRPr="00EB7F85">
        <w:rPr>
          <w:rFonts w:ascii="Palatino Linotype" w:hAnsi="Palatino Linotype"/>
          <w:noProof w:val="0"/>
          <w:sz w:val="20"/>
          <w:szCs w:val="20"/>
          <w:lang w:val="en-US"/>
        </w:rPr>
        <w:t xml:space="preserve"> neutropenia </w:t>
      </w:r>
      <w:proofErr w:type="spellStart"/>
      <w:r w:rsidRPr="00EB7F85">
        <w:rPr>
          <w:rFonts w:ascii="Palatino Linotype" w:hAnsi="Palatino Linotype"/>
          <w:noProof w:val="0"/>
          <w:sz w:val="20"/>
          <w:szCs w:val="20"/>
          <w:lang w:val="en-US"/>
        </w:rPr>
        <w:t>autoimun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Kompleksitas</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sindrom</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ini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menyebabkan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tantangan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besar</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dalam</w:t>
      </w:r>
      <w:proofErr w:type="spellEnd"/>
      <w:r w:rsidRPr="00EB7F85">
        <w:rPr>
          <w:rFonts w:ascii="Palatino Linotype" w:hAnsi="Palatino Linotype"/>
          <w:noProof w:val="0"/>
          <w:sz w:val="20"/>
          <w:szCs w:val="20"/>
          <w:lang w:val="en-US"/>
        </w:rPr>
        <w:t xml:space="preserve"> diagnosis dan tata </w:t>
      </w:r>
      <w:proofErr w:type="spellStart"/>
      <w:r w:rsidRPr="00EB7F85">
        <w:rPr>
          <w:rFonts w:ascii="Palatino Linotype" w:hAnsi="Palatino Linotype"/>
          <w:noProof w:val="0"/>
          <w:sz w:val="20"/>
          <w:szCs w:val="20"/>
          <w:lang w:val="en-US"/>
        </w:rPr>
        <w:t>laksana</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terapi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mengingat</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perjalanan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penyakit</w:t>
      </w:r>
      <w:proofErr w:type="spellEnd"/>
      <w:r w:rsidRPr="00EB7F85">
        <w:rPr>
          <w:rFonts w:ascii="Palatino Linotype" w:hAnsi="Palatino Linotype"/>
          <w:noProof w:val="0"/>
          <w:sz w:val="20"/>
          <w:szCs w:val="20"/>
          <w:lang w:val="en-US"/>
        </w:rPr>
        <w:t xml:space="preserve"> yang </w:t>
      </w:r>
      <w:proofErr w:type="spellStart"/>
      <w:r w:rsidRPr="00EB7F85">
        <w:rPr>
          <w:rFonts w:ascii="Palatino Linotype" w:hAnsi="Palatino Linotype"/>
          <w:noProof w:val="0"/>
          <w:sz w:val="20"/>
          <w:szCs w:val="20"/>
          <w:lang w:val="en-US"/>
        </w:rPr>
        <w:t>kronis</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heterogen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serta</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respons</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pasien</w:t>
      </w:r>
      <w:proofErr w:type="spellEnd"/>
      <w:r w:rsidRPr="00EB7F85">
        <w:rPr>
          <w:rFonts w:ascii="Palatino Linotype" w:hAnsi="Palatino Linotype"/>
          <w:noProof w:val="0"/>
          <w:sz w:val="20"/>
          <w:szCs w:val="20"/>
          <w:lang w:val="en-US"/>
        </w:rPr>
        <w:t xml:space="preserve"> yang </w:t>
      </w:r>
      <w:proofErr w:type="spellStart"/>
      <w:r w:rsidRPr="00EB7F85">
        <w:rPr>
          <w:rFonts w:ascii="Palatino Linotype" w:hAnsi="Palatino Linotype"/>
          <w:noProof w:val="0"/>
          <w:sz w:val="20"/>
          <w:szCs w:val="20"/>
          <w:lang w:val="en-US"/>
        </w:rPr>
        <w:t>bervariasi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terhadap</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pengobatan</w:t>
      </w:r>
      <w:proofErr w:type="spellEnd"/>
      <w:r w:rsidRPr="00EB7F85">
        <w:rPr>
          <w:rFonts w:ascii="Palatino Linotype" w:hAnsi="Palatino Linotype"/>
          <w:noProof w:val="0"/>
          <w:sz w:val="20"/>
          <w:szCs w:val="20"/>
          <w:lang w:val="en-US"/>
        </w:rPr>
        <w:t xml:space="preserve">. Kajian </w:t>
      </w:r>
      <w:proofErr w:type="spellStart"/>
      <w:r w:rsidR="001B7A6A">
        <w:rPr>
          <w:rFonts w:ascii="Palatino Linotype" w:hAnsi="Palatino Linotype"/>
          <w:noProof w:val="0"/>
          <w:sz w:val="20"/>
          <w:szCs w:val="20"/>
          <w:lang w:val="en-US"/>
        </w:rPr>
        <w:t>naratif</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ini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bertujuan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untuk</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memberikan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tinjauan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komprehensif</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terkait</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pendekatan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diagnostik</w:t>
      </w:r>
      <w:proofErr w:type="spellEnd"/>
      <w:r w:rsidRPr="00EB7F85">
        <w:rPr>
          <w:rFonts w:ascii="Palatino Linotype" w:hAnsi="Palatino Linotype"/>
          <w:noProof w:val="0"/>
          <w:sz w:val="20"/>
          <w:szCs w:val="20"/>
          <w:lang w:val="en-US"/>
        </w:rPr>
        <w:t xml:space="preserve"> dan </w:t>
      </w:r>
      <w:proofErr w:type="spellStart"/>
      <w:r w:rsidRPr="00EB7F85">
        <w:rPr>
          <w:rFonts w:ascii="Palatino Linotype" w:hAnsi="Palatino Linotype"/>
          <w:noProof w:val="0"/>
          <w:sz w:val="20"/>
          <w:szCs w:val="20"/>
          <w:lang w:val="en-US"/>
        </w:rPr>
        <w:t>pilihan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terapi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terkini</w:t>
      </w:r>
      <w:proofErr w:type="spellEnd"/>
      <w:r w:rsidRPr="00EB7F85">
        <w:rPr>
          <w:rFonts w:ascii="Palatino Linotype" w:hAnsi="Palatino Linotype"/>
          <w:noProof w:val="0"/>
          <w:sz w:val="20"/>
          <w:szCs w:val="20"/>
          <w:lang w:val="en-US"/>
        </w:rPr>
        <w:t xml:space="preserve"> pada </w:t>
      </w:r>
      <w:proofErr w:type="spellStart"/>
      <w:r w:rsidRPr="00EB7F85">
        <w:rPr>
          <w:rFonts w:ascii="Palatino Linotype" w:hAnsi="Palatino Linotype"/>
          <w:noProof w:val="0"/>
          <w:sz w:val="20"/>
          <w:szCs w:val="20"/>
          <w:lang w:val="en-US"/>
        </w:rPr>
        <w:t>pasien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dengan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sindrom</w:t>
      </w:r>
      <w:proofErr w:type="spellEnd"/>
      <w:r w:rsidRPr="00EB7F85">
        <w:rPr>
          <w:rFonts w:ascii="Palatino Linotype" w:hAnsi="Palatino Linotype"/>
          <w:noProof w:val="0"/>
          <w:sz w:val="20"/>
          <w:szCs w:val="20"/>
          <w:lang w:val="en-US"/>
        </w:rPr>
        <w:t xml:space="preserve"> Evans. Metode </w:t>
      </w:r>
      <w:proofErr w:type="spellStart"/>
      <w:r w:rsidRPr="00EB7F85">
        <w:rPr>
          <w:rFonts w:ascii="Palatino Linotype" w:hAnsi="Palatino Linotype"/>
          <w:noProof w:val="0"/>
          <w:sz w:val="20"/>
          <w:szCs w:val="20"/>
          <w:lang w:val="en-US"/>
        </w:rPr>
        <w:t>penelusuran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literatur</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dilakukan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melalui</w:t>
      </w:r>
      <w:proofErr w:type="spellEnd"/>
      <w:r w:rsidRPr="00EB7F85">
        <w:rPr>
          <w:rFonts w:ascii="Palatino Linotype" w:hAnsi="Palatino Linotype"/>
          <w:noProof w:val="0"/>
          <w:sz w:val="20"/>
          <w:szCs w:val="20"/>
          <w:lang w:val="en-US"/>
        </w:rPr>
        <w:t xml:space="preserve"> database PubMed dan Science Direct </w:t>
      </w:r>
      <w:proofErr w:type="spellStart"/>
      <w:r w:rsidRPr="00EB7F85">
        <w:rPr>
          <w:rFonts w:ascii="Palatino Linotype" w:hAnsi="Palatino Linotype"/>
          <w:noProof w:val="0"/>
          <w:sz w:val="20"/>
          <w:szCs w:val="20"/>
          <w:lang w:val="en-US"/>
        </w:rPr>
        <w:t>menggunakan</w:t>
      </w:r>
      <w:proofErr w:type="spellEnd"/>
      <w:r w:rsidRPr="00EB7F85">
        <w:rPr>
          <w:rFonts w:ascii="Palatino Linotype" w:hAnsi="Palatino Linotype"/>
          <w:noProof w:val="0"/>
          <w:sz w:val="20"/>
          <w:szCs w:val="20"/>
          <w:lang w:val="en-US"/>
        </w:rPr>
        <w:t xml:space="preserve"> kata </w:t>
      </w:r>
      <w:proofErr w:type="spellStart"/>
      <w:r w:rsidRPr="00EB7F85">
        <w:rPr>
          <w:rFonts w:ascii="Palatino Linotype" w:hAnsi="Palatino Linotype"/>
          <w:noProof w:val="0"/>
          <w:sz w:val="20"/>
          <w:szCs w:val="20"/>
          <w:lang w:val="en-US"/>
        </w:rPr>
        <w:t>kunci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relevan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hingga</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tahun</w:t>
      </w:r>
      <w:proofErr w:type="spellEnd"/>
      <w:r w:rsidRPr="00EB7F85">
        <w:rPr>
          <w:rFonts w:ascii="Palatino Linotype" w:hAnsi="Palatino Linotype"/>
          <w:noProof w:val="0"/>
          <w:sz w:val="20"/>
          <w:szCs w:val="20"/>
          <w:lang w:val="en-US"/>
        </w:rPr>
        <w:t xml:space="preserve"> 2025, </w:t>
      </w:r>
      <w:proofErr w:type="spellStart"/>
      <w:r w:rsidRPr="00EB7F85">
        <w:rPr>
          <w:rFonts w:ascii="Palatino Linotype" w:hAnsi="Palatino Linotype"/>
          <w:noProof w:val="0"/>
          <w:sz w:val="20"/>
          <w:szCs w:val="20"/>
          <w:lang w:val="en-US"/>
        </w:rPr>
        <w:t>serta</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menelaah</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referensi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dari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artikel</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terkait</w:t>
      </w:r>
      <w:proofErr w:type="spellEnd"/>
      <w:r w:rsidRPr="00EB7F85">
        <w:rPr>
          <w:rFonts w:ascii="Palatino Linotype" w:hAnsi="Palatino Linotype"/>
          <w:noProof w:val="0"/>
          <w:sz w:val="20"/>
          <w:szCs w:val="20"/>
          <w:lang w:val="en-US"/>
        </w:rPr>
        <w:t xml:space="preserve">. Hasil </w:t>
      </w:r>
      <w:proofErr w:type="spellStart"/>
      <w:r w:rsidRPr="00EB7F85">
        <w:rPr>
          <w:rFonts w:ascii="Palatino Linotype" w:hAnsi="Palatino Linotype"/>
          <w:noProof w:val="0"/>
          <w:sz w:val="20"/>
          <w:szCs w:val="20"/>
          <w:lang w:val="en-US"/>
        </w:rPr>
        <w:t>kajian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menunjukkan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bahwa</w:t>
      </w:r>
      <w:proofErr w:type="spellEnd"/>
      <w:r w:rsidRPr="00EB7F85">
        <w:rPr>
          <w:rFonts w:ascii="Palatino Linotype" w:hAnsi="Palatino Linotype"/>
          <w:noProof w:val="0"/>
          <w:sz w:val="20"/>
          <w:szCs w:val="20"/>
          <w:lang w:val="en-US"/>
        </w:rPr>
        <w:t xml:space="preserve"> tata </w:t>
      </w:r>
      <w:proofErr w:type="spellStart"/>
      <w:r w:rsidRPr="00EB7F85">
        <w:rPr>
          <w:rFonts w:ascii="Palatino Linotype" w:hAnsi="Palatino Linotype"/>
          <w:noProof w:val="0"/>
          <w:sz w:val="20"/>
          <w:szCs w:val="20"/>
          <w:lang w:val="en-US"/>
        </w:rPr>
        <w:t>laksana</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sindrom</w:t>
      </w:r>
      <w:proofErr w:type="spellEnd"/>
      <w:r w:rsidRPr="00EB7F85">
        <w:rPr>
          <w:rFonts w:ascii="Palatino Linotype" w:hAnsi="Palatino Linotype"/>
          <w:noProof w:val="0"/>
          <w:sz w:val="20"/>
          <w:szCs w:val="20"/>
          <w:lang w:val="en-US"/>
        </w:rPr>
        <w:t xml:space="preserve"> Evans </w:t>
      </w:r>
      <w:proofErr w:type="spellStart"/>
      <w:r w:rsidRPr="00EB7F85">
        <w:rPr>
          <w:rFonts w:ascii="Palatino Linotype" w:hAnsi="Palatino Linotype"/>
          <w:noProof w:val="0"/>
          <w:sz w:val="20"/>
          <w:szCs w:val="20"/>
          <w:lang w:val="en-US"/>
        </w:rPr>
        <w:t>belum</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memiliki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protokol</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standar</w:t>
      </w:r>
      <w:proofErr w:type="spellEnd"/>
      <w:r w:rsidRPr="00EB7F85">
        <w:rPr>
          <w:rFonts w:ascii="Palatino Linotype" w:hAnsi="Palatino Linotype"/>
          <w:noProof w:val="0"/>
          <w:sz w:val="20"/>
          <w:szCs w:val="20"/>
          <w:lang w:val="en-US"/>
        </w:rPr>
        <w:t xml:space="preserve"> yang </w:t>
      </w:r>
      <w:proofErr w:type="spellStart"/>
      <w:r w:rsidRPr="00EB7F85">
        <w:rPr>
          <w:rFonts w:ascii="Palatino Linotype" w:hAnsi="Palatino Linotype"/>
          <w:noProof w:val="0"/>
          <w:sz w:val="20"/>
          <w:szCs w:val="20"/>
          <w:lang w:val="en-US"/>
        </w:rPr>
        <w:t>diterima</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secara</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luas</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Terapi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lini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pertama</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umumnya</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menggunakan</w:t>
      </w:r>
      <w:proofErr w:type="spellEnd"/>
      <w:r w:rsidRPr="00EB7F85">
        <w:rPr>
          <w:rFonts w:ascii="Palatino Linotype" w:hAnsi="Palatino Linotype"/>
          <w:noProof w:val="0"/>
          <w:sz w:val="20"/>
          <w:szCs w:val="20"/>
          <w:lang w:val="en-US"/>
        </w:rPr>
        <w:t xml:space="preserve"> steroid dan/</w:t>
      </w:r>
      <w:proofErr w:type="spellStart"/>
      <w:r w:rsidRPr="00EB7F85">
        <w:rPr>
          <w:rFonts w:ascii="Palatino Linotype" w:hAnsi="Palatino Linotype"/>
          <w:noProof w:val="0"/>
          <w:sz w:val="20"/>
          <w:szCs w:val="20"/>
          <w:lang w:val="en-US"/>
        </w:rPr>
        <w:t>atau</w:t>
      </w:r>
      <w:proofErr w:type="spellEnd"/>
      <w:r w:rsidRPr="00EB7F85">
        <w:rPr>
          <w:rFonts w:ascii="Palatino Linotype" w:hAnsi="Palatino Linotype"/>
          <w:noProof w:val="0"/>
          <w:sz w:val="20"/>
          <w:szCs w:val="20"/>
          <w:lang w:val="en-US"/>
        </w:rPr>
        <w:t xml:space="preserve"> IVIG, </w:t>
      </w:r>
      <w:proofErr w:type="spellStart"/>
      <w:r w:rsidRPr="00EB7F85">
        <w:rPr>
          <w:rFonts w:ascii="Palatino Linotype" w:hAnsi="Palatino Linotype"/>
          <w:noProof w:val="0"/>
          <w:sz w:val="20"/>
          <w:szCs w:val="20"/>
          <w:lang w:val="en-US"/>
        </w:rPr>
        <w:t>sementara</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terapi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lini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kedua</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meliputi</w:t>
      </w:r>
      <w:proofErr w:type="spellEnd"/>
      <w:r w:rsidRPr="00EB7F85">
        <w:rPr>
          <w:rFonts w:ascii="Palatino Linotype" w:hAnsi="Palatino Linotype"/>
          <w:noProof w:val="0"/>
          <w:sz w:val="20"/>
          <w:szCs w:val="20"/>
          <w:lang w:val="en-US"/>
        </w:rPr>
        <w:t xml:space="preserve"> rituximab, </w:t>
      </w:r>
      <w:proofErr w:type="spellStart"/>
      <w:r w:rsidRPr="00EB7F85">
        <w:rPr>
          <w:rFonts w:ascii="Palatino Linotype" w:hAnsi="Palatino Linotype"/>
          <w:noProof w:val="0"/>
          <w:sz w:val="20"/>
          <w:szCs w:val="20"/>
          <w:lang w:val="en-US"/>
        </w:rPr>
        <w:t>agen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imunosupresif</w:t>
      </w:r>
      <w:proofErr w:type="spellEnd"/>
      <w:r w:rsidRPr="00EB7F85">
        <w:rPr>
          <w:rFonts w:ascii="Palatino Linotype" w:hAnsi="Palatino Linotype"/>
          <w:noProof w:val="0"/>
          <w:sz w:val="20"/>
          <w:szCs w:val="20"/>
          <w:lang w:val="en-US"/>
        </w:rPr>
        <w:t xml:space="preserve">, dan agonis </w:t>
      </w:r>
      <w:proofErr w:type="spellStart"/>
      <w:r w:rsidRPr="00EB7F85">
        <w:rPr>
          <w:rFonts w:ascii="Palatino Linotype" w:hAnsi="Palatino Linotype"/>
          <w:noProof w:val="0"/>
          <w:sz w:val="20"/>
          <w:szCs w:val="20"/>
          <w:lang w:val="en-US"/>
        </w:rPr>
        <w:t>reseptor</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trombopoetin</w:t>
      </w:r>
      <w:proofErr w:type="spellEnd"/>
      <w:r w:rsidRPr="00EB7F85">
        <w:rPr>
          <w:rFonts w:ascii="Palatino Linotype" w:hAnsi="Palatino Linotype"/>
          <w:noProof w:val="0"/>
          <w:sz w:val="20"/>
          <w:szCs w:val="20"/>
          <w:lang w:val="en-US"/>
        </w:rPr>
        <w:t xml:space="preserve">. Pada </w:t>
      </w:r>
      <w:proofErr w:type="spellStart"/>
      <w:r w:rsidRPr="00EB7F85">
        <w:rPr>
          <w:rFonts w:ascii="Palatino Linotype" w:hAnsi="Palatino Linotype"/>
          <w:noProof w:val="0"/>
          <w:sz w:val="20"/>
          <w:szCs w:val="20"/>
          <w:lang w:val="en-US"/>
        </w:rPr>
        <w:t>kasus</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berat</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atau</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refrakter</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splenektomi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terapi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biologis</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atau</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transplantasi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sel</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punca</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dapat</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dipertimbangkan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Kesimpulannya</w:t>
      </w:r>
      <w:proofErr w:type="spellEnd"/>
      <w:r w:rsidRPr="00EB7F85">
        <w:rPr>
          <w:rFonts w:ascii="Palatino Linotype" w:hAnsi="Palatino Linotype"/>
          <w:noProof w:val="0"/>
          <w:sz w:val="20"/>
          <w:szCs w:val="20"/>
          <w:lang w:val="en-US"/>
        </w:rPr>
        <w:t xml:space="preserve">, tata </w:t>
      </w:r>
      <w:proofErr w:type="spellStart"/>
      <w:r w:rsidRPr="00EB7F85">
        <w:rPr>
          <w:rFonts w:ascii="Palatino Linotype" w:hAnsi="Palatino Linotype"/>
          <w:noProof w:val="0"/>
          <w:sz w:val="20"/>
          <w:szCs w:val="20"/>
          <w:lang w:val="en-US"/>
        </w:rPr>
        <w:t>laksana</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sindrom</w:t>
      </w:r>
      <w:proofErr w:type="spellEnd"/>
      <w:r w:rsidRPr="00EB7F85">
        <w:rPr>
          <w:rFonts w:ascii="Palatino Linotype" w:hAnsi="Palatino Linotype"/>
          <w:noProof w:val="0"/>
          <w:sz w:val="20"/>
          <w:szCs w:val="20"/>
          <w:lang w:val="en-US"/>
        </w:rPr>
        <w:t xml:space="preserve"> Evans </w:t>
      </w:r>
      <w:proofErr w:type="spellStart"/>
      <w:r w:rsidRPr="00EB7F85">
        <w:rPr>
          <w:rFonts w:ascii="Palatino Linotype" w:hAnsi="Palatino Linotype"/>
          <w:noProof w:val="0"/>
          <w:sz w:val="20"/>
          <w:szCs w:val="20"/>
          <w:lang w:val="en-US"/>
        </w:rPr>
        <w:t>bersifat</w:t>
      </w:r>
      <w:proofErr w:type="spellEnd"/>
      <w:r w:rsidRPr="00EB7F85">
        <w:rPr>
          <w:rFonts w:ascii="Palatino Linotype" w:hAnsi="Palatino Linotype"/>
          <w:noProof w:val="0"/>
          <w:sz w:val="20"/>
          <w:szCs w:val="20"/>
          <w:lang w:val="en-US"/>
        </w:rPr>
        <w:t xml:space="preserve"> individual dan </w:t>
      </w:r>
      <w:proofErr w:type="spellStart"/>
      <w:r w:rsidRPr="00EB7F85">
        <w:rPr>
          <w:rFonts w:ascii="Palatino Linotype" w:hAnsi="Palatino Linotype"/>
          <w:noProof w:val="0"/>
          <w:sz w:val="20"/>
          <w:szCs w:val="20"/>
          <w:lang w:val="en-US"/>
        </w:rPr>
        <w:t>masih</w:t>
      </w:r>
      <w:proofErr w:type="spellEnd"/>
      <w:r w:rsidRPr="00EB7F85">
        <w:rPr>
          <w:rFonts w:ascii="Palatino Linotype" w:hAnsi="Palatino Linotype"/>
          <w:noProof w:val="0"/>
          <w:sz w:val="20"/>
          <w:szCs w:val="20"/>
          <w:lang w:val="en-US"/>
        </w:rPr>
        <w:t xml:space="preserve"> sangat </w:t>
      </w:r>
      <w:proofErr w:type="spellStart"/>
      <w:r w:rsidRPr="00EB7F85">
        <w:rPr>
          <w:rFonts w:ascii="Palatino Linotype" w:hAnsi="Palatino Linotype"/>
          <w:noProof w:val="0"/>
          <w:sz w:val="20"/>
          <w:szCs w:val="20"/>
          <w:lang w:val="en-US"/>
        </w:rPr>
        <w:t>bergantung</w:t>
      </w:r>
      <w:proofErr w:type="spellEnd"/>
      <w:r w:rsidRPr="00EB7F85">
        <w:rPr>
          <w:rFonts w:ascii="Palatino Linotype" w:hAnsi="Palatino Linotype"/>
          <w:noProof w:val="0"/>
          <w:sz w:val="20"/>
          <w:szCs w:val="20"/>
          <w:lang w:val="en-US"/>
        </w:rPr>
        <w:t xml:space="preserve"> pada </w:t>
      </w:r>
      <w:proofErr w:type="spellStart"/>
      <w:r w:rsidRPr="00EB7F85">
        <w:rPr>
          <w:rFonts w:ascii="Palatino Linotype" w:hAnsi="Palatino Linotype"/>
          <w:noProof w:val="0"/>
          <w:sz w:val="20"/>
          <w:szCs w:val="20"/>
          <w:lang w:val="en-US"/>
        </w:rPr>
        <w:t>pengalaman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klinis</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serta</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bukti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tidak</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langsung</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dari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terapi</w:t>
      </w:r>
      <w:proofErr w:type="spellEnd"/>
      <w:r w:rsidRPr="00EB7F85">
        <w:rPr>
          <w:rFonts w:ascii="Palatino Linotype" w:hAnsi="Palatino Linotype"/>
          <w:noProof w:val="0"/>
          <w:sz w:val="20"/>
          <w:szCs w:val="20"/>
          <w:lang w:val="en-US"/>
        </w:rPr>
        <w:t xml:space="preserve"> AIHA dan ITP </w:t>
      </w:r>
      <w:proofErr w:type="spellStart"/>
      <w:r w:rsidRPr="00EB7F85">
        <w:rPr>
          <w:rFonts w:ascii="Palatino Linotype" w:hAnsi="Palatino Linotype"/>
          <w:noProof w:val="0"/>
          <w:sz w:val="20"/>
          <w:szCs w:val="20"/>
          <w:lang w:val="en-US"/>
        </w:rPr>
        <w:t>terisolasi</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Diperlukan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penelitian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lebih</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lanjut</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untuk</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mengembangkan</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protokol</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terapi</w:t>
      </w:r>
      <w:proofErr w:type="spellEnd"/>
      <w:r w:rsidRPr="00EB7F85">
        <w:rPr>
          <w:rFonts w:ascii="Palatino Linotype" w:hAnsi="Palatino Linotype"/>
          <w:noProof w:val="0"/>
          <w:sz w:val="20"/>
          <w:szCs w:val="20"/>
          <w:lang w:val="en-US"/>
        </w:rPr>
        <w:t xml:space="preserve"> yang </w:t>
      </w:r>
      <w:proofErr w:type="spellStart"/>
      <w:r w:rsidRPr="00EB7F85">
        <w:rPr>
          <w:rFonts w:ascii="Palatino Linotype" w:hAnsi="Palatino Linotype"/>
          <w:noProof w:val="0"/>
          <w:sz w:val="20"/>
          <w:szCs w:val="20"/>
          <w:lang w:val="en-US"/>
        </w:rPr>
        <w:t>lebih</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spesifik</w:t>
      </w:r>
      <w:proofErr w:type="spellEnd"/>
      <w:r w:rsidRPr="00EB7F85">
        <w:rPr>
          <w:rFonts w:ascii="Palatino Linotype" w:hAnsi="Palatino Linotype"/>
          <w:noProof w:val="0"/>
          <w:sz w:val="20"/>
          <w:szCs w:val="20"/>
          <w:lang w:val="en-US"/>
        </w:rPr>
        <w:t xml:space="preserve"> dan </w:t>
      </w:r>
      <w:proofErr w:type="spellStart"/>
      <w:r w:rsidRPr="00EB7F85">
        <w:rPr>
          <w:rFonts w:ascii="Palatino Linotype" w:hAnsi="Palatino Linotype"/>
          <w:noProof w:val="0"/>
          <w:sz w:val="20"/>
          <w:szCs w:val="20"/>
          <w:lang w:val="en-US"/>
        </w:rPr>
        <w:t>berbasis</w:t>
      </w:r>
      <w:proofErr w:type="spellEnd"/>
      <w:r w:rsidRPr="00EB7F85">
        <w:rPr>
          <w:rFonts w:ascii="Palatino Linotype" w:hAnsi="Palatino Linotype"/>
          <w:noProof w:val="0"/>
          <w:sz w:val="20"/>
          <w:szCs w:val="20"/>
          <w:lang w:val="en-US"/>
        </w:rPr>
        <w:t xml:space="preserve"> </w:t>
      </w:r>
      <w:proofErr w:type="spellStart"/>
      <w:r w:rsidRPr="00EB7F85">
        <w:rPr>
          <w:rFonts w:ascii="Palatino Linotype" w:hAnsi="Palatino Linotype"/>
          <w:noProof w:val="0"/>
          <w:sz w:val="20"/>
          <w:szCs w:val="20"/>
          <w:lang w:val="en-US"/>
        </w:rPr>
        <w:t>bukti</w:t>
      </w:r>
      <w:proofErr w:type="spellEnd"/>
      <w:r w:rsidRPr="00EB7F85">
        <w:rPr>
          <w:rFonts w:ascii="Palatino Linotype" w:hAnsi="Palatino Linotype"/>
          <w:noProof w:val="0"/>
          <w:sz w:val="20"/>
          <w:szCs w:val="20"/>
          <w:lang w:val="en-US"/>
        </w:rPr>
        <w:t xml:space="preserve"> pada </w:t>
      </w:r>
      <w:proofErr w:type="spellStart"/>
      <w:r w:rsidRPr="00EB7F85">
        <w:rPr>
          <w:rFonts w:ascii="Palatino Linotype" w:hAnsi="Palatino Linotype"/>
          <w:noProof w:val="0"/>
          <w:sz w:val="20"/>
          <w:szCs w:val="20"/>
          <w:lang w:val="en-US"/>
        </w:rPr>
        <w:t>sindrom</w:t>
      </w:r>
      <w:proofErr w:type="spellEnd"/>
      <w:r w:rsidRPr="00EB7F85">
        <w:rPr>
          <w:rFonts w:ascii="Palatino Linotype" w:hAnsi="Palatino Linotype"/>
          <w:noProof w:val="0"/>
          <w:sz w:val="20"/>
          <w:szCs w:val="20"/>
          <w:lang w:val="en-US"/>
        </w:rPr>
        <w:t xml:space="preserve"> Evans.</w:t>
      </w:r>
    </w:p>
    <w:p w14:paraId="43065A45" w14:textId="40B8BCED" w:rsidR="007319BC" w:rsidRPr="004C3353" w:rsidRDefault="007319BC" w:rsidP="00095BF6">
      <w:pPr>
        <w:shd w:val="clear" w:color="auto" w:fill="F4B083" w:themeFill="accent2" w:themeFillTint="99"/>
        <w:spacing w:after="0" w:line="240" w:lineRule="auto"/>
        <w:ind w:right="-9"/>
        <w:jc w:val="both"/>
        <w:rPr>
          <w:rFonts w:ascii="Palatino Linotype" w:hAnsi="Palatino Linotype"/>
          <w:i/>
          <w:iCs/>
          <w:noProof w:val="0"/>
          <w:sz w:val="20"/>
          <w:szCs w:val="20"/>
          <w:lang w:val="sv-SE"/>
        </w:rPr>
      </w:pPr>
      <w:r w:rsidRPr="004C3353">
        <w:rPr>
          <w:rFonts w:ascii="Palatino Linotype" w:hAnsi="Palatino Linotype"/>
          <w:b/>
          <w:bCs/>
          <w:i/>
          <w:iCs/>
          <w:noProof w:val="0"/>
          <w:sz w:val="14"/>
          <w:szCs w:val="14"/>
          <w:lang w:val="sv-SE"/>
        </w:rPr>
        <w:t xml:space="preserve">Kata </w:t>
      </w:r>
      <w:proofErr w:type="spellStart"/>
      <w:r w:rsidRPr="004C3353">
        <w:rPr>
          <w:rFonts w:ascii="Palatino Linotype" w:hAnsi="Palatino Linotype"/>
          <w:b/>
          <w:bCs/>
          <w:i/>
          <w:iCs/>
          <w:noProof w:val="0"/>
          <w:sz w:val="14"/>
          <w:szCs w:val="14"/>
          <w:lang w:val="sv-SE"/>
        </w:rPr>
        <w:t>Kunci</w:t>
      </w:r>
      <w:proofErr w:type="spellEnd"/>
      <w:r w:rsidRPr="004C3353">
        <w:rPr>
          <w:rFonts w:ascii="Palatino Linotype" w:hAnsi="Palatino Linotype"/>
          <w:b/>
          <w:bCs/>
          <w:i/>
          <w:iCs/>
          <w:noProof w:val="0"/>
          <w:sz w:val="14"/>
          <w:szCs w:val="14"/>
          <w:lang w:val="sv-SE"/>
        </w:rPr>
        <w:t>:</w:t>
      </w:r>
      <w:r w:rsidRPr="004C3353">
        <w:rPr>
          <w:rFonts w:ascii="Palatino Linotype" w:hAnsi="Palatino Linotype"/>
          <w:i/>
          <w:iCs/>
          <w:noProof w:val="0"/>
          <w:sz w:val="14"/>
          <w:szCs w:val="14"/>
          <w:lang w:val="sv-SE"/>
        </w:rPr>
        <w:t xml:space="preserve"> </w:t>
      </w:r>
      <w:proofErr w:type="spellStart"/>
      <w:r w:rsidR="00EB7F85" w:rsidRPr="00EB7F85">
        <w:rPr>
          <w:rFonts w:ascii="Palatino Linotype" w:hAnsi="Palatino Linotype"/>
          <w:i/>
          <w:iCs/>
          <w:noProof w:val="0"/>
          <w:sz w:val="14"/>
          <w:szCs w:val="14"/>
          <w:lang w:val="sv-SE"/>
        </w:rPr>
        <w:t>sindrom</w:t>
      </w:r>
      <w:proofErr w:type="spellEnd"/>
      <w:r w:rsidR="00EB7F85" w:rsidRPr="00EB7F85">
        <w:rPr>
          <w:rFonts w:ascii="Palatino Linotype" w:hAnsi="Palatino Linotype"/>
          <w:i/>
          <w:iCs/>
          <w:noProof w:val="0"/>
          <w:sz w:val="14"/>
          <w:szCs w:val="14"/>
          <w:lang w:val="sv-SE"/>
        </w:rPr>
        <w:t xml:space="preserve"> Evans, </w:t>
      </w:r>
      <w:proofErr w:type="spellStart"/>
      <w:r w:rsidR="00EB7F85" w:rsidRPr="00EB7F85">
        <w:rPr>
          <w:rFonts w:ascii="Palatino Linotype" w:hAnsi="Palatino Linotype"/>
          <w:i/>
          <w:iCs/>
          <w:noProof w:val="0"/>
          <w:sz w:val="14"/>
          <w:szCs w:val="14"/>
          <w:lang w:val="sv-SE"/>
        </w:rPr>
        <w:t>Anemia</w:t>
      </w:r>
      <w:proofErr w:type="spellEnd"/>
      <w:r w:rsidR="00EB7F85" w:rsidRPr="00EB7F85">
        <w:rPr>
          <w:rFonts w:ascii="Palatino Linotype" w:hAnsi="Palatino Linotype"/>
          <w:i/>
          <w:iCs/>
          <w:noProof w:val="0"/>
          <w:sz w:val="14"/>
          <w:szCs w:val="14"/>
          <w:lang w:val="sv-SE"/>
        </w:rPr>
        <w:t xml:space="preserve"> </w:t>
      </w:r>
      <w:proofErr w:type="spellStart"/>
      <w:r w:rsidR="00EB7F85" w:rsidRPr="00EB7F85">
        <w:rPr>
          <w:rFonts w:ascii="Palatino Linotype" w:hAnsi="Palatino Linotype"/>
          <w:i/>
          <w:iCs/>
          <w:noProof w:val="0"/>
          <w:sz w:val="14"/>
          <w:szCs w:val="14"/>
          <w:lang w:val="sv-SE"/>
        </w:rPr>
        <w:t>Hemolitik</w:t>
      </w:r>
      <w:proofErr w:type="spellEnd"/>
      <w:r w:rsidR="00EB7F85" w:rsidRPr="00EB7F85">
        <w:rPr>
          <w:rFonts w:ascii="Palatino Linotype" w:hAnsi="Palatino Linotype"/>
          <w:i/>
          <w:iCs/>
          <w:noProof w:val="0"/>
          <w:sz w:val="14"/>
          <w:szCs w:val="14"/>
          <w:lang w:val="sv-SE"/>
        </w:rPr>
        <w:t xml:space="preserve"> </w:t>
      </w:r>
      <w:proofErr w:type="spellStart"/>
      <w:r w:rsidR="00EB7F85" w:rsidRPr="00EB7F85">
        <w:rPr>
          <w:rFonts w:ascii="Palatino Linotype" w:hAnsi="Palatino Linotype"/>
          <w:i/>
          <w:iCs/>
          <w:noProof w:val="0"/>
          <w:sz w:val="14"/>
          <w:szCs w:val="14"/>
          <w:lang w:val="sv-SE"/>
        </w:rPr>
        <w:t>Autoimun</w:t>
      </w:r>
      <w:proofErr w:type="spellEnd"/>
      <w:r w:rsidR="00EB7F85" w:rsidRPr="00EB7F85">
        <w:rPr>
          <w:rFonts w:ascii="Palatino Linotype" w:hAnsi="Palatino Linotype"/>
          <w:i/>
          <w:iCs/>
          <w:noProof w:val="0"/>
          <w:sz w:val="14"/>
          <w:szCs w:val="14"/>
          <w:lang w:val="sv-SE"/>
        </w:rPr>
        <w:t xml:space="preserve"> (AIHA), </w:t>
      </w:r>
      <w:proofErr w:type="spellStart"/>
      <w:r w:rsidR="00EB7F85" w:rsidRPr="00EB7F85">
        <w:rPr>
          <w:rFonts w:ascii="Palatino Linotype" w:hAnsi="Palatino Linotype"/>
          <w:i/>
          <w:iCs/>
          <w:noProof w:val="0"/>
          <w:sz w:val="14"/>
          <w:szCs w:val="14"/>
          <w:lang w:val="sv-SE"/>
        </w:rPr>
        <w:t>Purpura</w:t>
      </w:r>
      <w:proofErr w:type="spellEnd"/>
      <w:r w:rsidR="00EB7F85" w:rsidRPr="00EB7F85">
        <w:rPr>
          <w:rFonts w:ascii="Palatino Linotype" w:hAnsi="Palatino Linotype"/>
          <w:i/>
          <w:iCs/>
          <w:noProof w:val="0"/>
          <w:sz w:val="14"/>
          <w:szCs w:val="14"/>
          <w:lang w:val="sv-SE"/>
        </w:rPr>
        <w:t xml:space="preserve"> </w:t>
      </w:r>
      <w:proofErr w:type="spellStart"/>
      <w:r w:rsidR="00EB7F85" w:rsidRPr="00EB7F85">
        <w:rPr>
          <w:rFonts w:ascii="Palatino Linotype" w:hAnsi="Palatino Linotype"/>
          <w:i/>
          <w:iCs/>
          <w:noProof w:val="0"/>
          <w:sz w:val="14"/>
          <w:szCs w:val="14"/>
          <w:lang w:val="sv-SE"/>
        </w:rPr>
        <w:t>Trombositopenik</w:t>
      </w:r>
      <w:proofErr w:type="spellEnd"/>
      <w:r w:rsidR="00EB7F85" w:rsidRPr="00EB7F85">
        <w:rPr>
          <w:rFonts w:ascii="Palatino Linotype" w:hAnsi="Palatino Linotype"/>
          <w:i/>
          <w:iCs/>
          <w:noProof w:val="0"/>
          <w:sz w:val="14"/>
          <w:szCs w:val="14"/>
          <w:lang w:val="sv-SE"/>
        </w:rPr>
        <w:t xml:space="preserve"> </w:t>
      </w:r>
      <w:proofErr w:type="spellStart"/>
      <w:r w:rsidR="00EB7F85" w:rsidRPr="00EB7F85">
        <w:rPr>
          <w:rFonts w:ascii="Palatino Linotype" w:hAnsi="Palatino Linotype"/>
          <w:i/>
          <w:iCs/>
          <w:noProof w:val="0"/>
          <w:sz w:val="14"/>
          <w:szCs w:val="14"/>
          <w:lang w:val="sv-SE"/>
        </w:rPr>
        <w:t>Imun</w:t>
      </w:r>
      <w:proofErr w:type="spellEnd"/>
      <w:r w:rsidR="00EB7F85" w:rsidRPr="00EB7F85">
        <w:rPr>
          <w:rFonts w:ascii="Palatino Linotype" w:hAnsi="Palatino Linotype"/>
          <w:i/>
          <w:iCs/>
          <w:noProof w:val="0"/>
          <w:sz w:val="14"/>
          <w:szCs w:val="14"/>
          <w:lang w:val="sv-SE"/>
        </w:rPr>
        <w:t xml:space="preserve"> (ITP), </w:t>
      </w:r>
      <w:proofErr w:type="spellStart"/>
      <w:r w:rsidR="00EB7F85" w:rsidRPr="00EB7F85">
        <w:rPr>
          <w:rFonts w:ascii="Palatino Linotype" w:hAnsi="Palatino Linotype"/>
          <w:i/>
          <w:iCs/>
          <w:noProof w:val="0"/>
          <w:sz w:val="14"/>
          <w:szCs w:val="14"/>
          <w:lang w:val="sv-SE"/>
        </w:rPr>
        <w:t>manajemen</w:t>
      </w:r>
      <w:proofErr w:type="spellEnd"/>
      <w:r w:rsidR="00EB7F85" w:rsidRPr="00EB7F85">
        <w:rPr>
          <w:rFonts w:ascii="Palatino Linotype" w:hAnsi="Palatino Linotype"/>
          <w:i/>
          <w:iCs/>
          <w:noProof w:val="0"/>
          <w:sz w:val="14"/>
          <w:szCs w:val="14"/>
          <w:lang w:val="sv-SE"/>
        </w:rPr>
        <w:t xml:space="preserve"> terapi</w:t>
      </w:r>
    </w:p>
    <w:p w14:paraId="68A82FC7" w14:textId="77777777" w:rsidR="002B502C" w:rsidRDefault="002B502C" w:rsidP="00095BF6">
      <w:pPr>
        <w:shd w:val="clear" w:color="auto" w:fill="F4B083" w:themeFill="accent2" w:themeFillTint="99"/>
        <w:spacing w:after="0" w:line="240" w:lineRule="auto"/>
        <w:ind w:right="-9"/>
        <w:rPr>
          <w:rFonts w:ascii="Palatino Linotype" w:hAnsi="Palatino Linotype"/>
          <w:b/>
          <w:bCs/>
          <w:color w:val="000000"/>
          <w:sz w:val="20"/>
          <w:szCs w:val="20"/>
          <w:lang w:val="sv-SE"/>
        </w:rPr>
      </w:pPr>
    </w:p>
    <w:p w14:paraId="3D24A064" w14:textId="77777777" w:rsidR="00095BF6" w:rsidRDefault="00095BF6" w:rsidP="0089094B">
      <w:pPr>
        <w:spacing w:after="0" w:line="240" w:lineRule="auto"/>
        <w:rPr>
          <w:rFonts w:ascii="Palatino Linotype" w:hAnsi="Palatino Linotype"/>
          <w:b/>
          <w:bCs/>
          <w:color w:val="000000"/>
          <w:sz w:val="20"/>
          <w:szCs w:val="20"/>
          <w:lang w:val="sv-SE"/>
        </w:rPr>
      </w:pPr>
    </w:p>
    <w:p w14:paraId="667FF339" w14:textId="77777777" w:rsidR="00095BF6" w:rsidRDefault="00095BF6" w:rsidP="0089094B">
      <w:pPr>
        <w:spacing w:after="0" w:line="240" w:lineRule="auto"/>
        <w:rPr>
          <w:rFonts w:ascii="Palatino Linotype" w:hAnsi="Palatino Linotype"/>
          <w:b/>
          <w:bCs/>
          <w:color w:val="000000"/>
          <w:sz w:val="20"/>
          <w:szCs w:val="20"/>
          <w:lang w:val="sv-SE"/>
        </w:rPr>
      </w:pPr>
    </w:p>
    <w:p w14:paraId="341D6574" w14:textId="77777777" w:rsidR="007663B9" w:rsidRDefault="007663B9" w:rsidP="0089094B">
      <w:pPr>
        <w:spacing w:after="0" w:line="240" w:lineRule="auto"/>
        <w:rPr>
          <w:rFonts w:ascii="Palatino Linotype" w:hAnsi="Palatino Linotype"/>
          <w:b/>
          <w:bCs/>
          <w:color w:val="000000"/>
          <w:sz w:val="20"/>
          <w:szCs w:val="20"/>
          <w:lang w:val="sv-SE"/>
        </w:rPr>
      </w:pPr>
    </w:p>
    <w:p w14:paraId="6CDCF31D" w14:textId="77777777" w:rsidR="007663B9" w:rsidRDefault="007663B9" w:rsidP="0089094B">
      <w:pPr>
        <w:spacing w:after="0" w:line="240" w:lineRule="auto"/>
        <w:rPr>
          <w:rFonts w:ascii="Palatino Linotype" w:hAnsi="Palatino Linotype"/>
          <w:b/>
          <w:bCs/>
          <w:color w:val="000000"/>
          <w:sz w:val="20"/>
          <w:szCs w:val="20"/>
          <w:lang w:val="sv-SE"/>
        </w:rPr>
      </w:pPr>
    </w:p>
    <w:p w14:paraId="6690A833" w14:textId="77777777" w:rsidR="007663B9" w:rsidRDefault="007663B9" w:rsidP="0089094B">
      <w:pPr>
        <w:spacing w:after="0" w:line="240" w:lineRule="auto"/>
        <w:rPr>
          <w:rFonts w:ascii="Palatino Linotype" w:hAnsi="Palatino Linotype"/>
          <w:b/>
          <w:bCs/>
          <w:color w:val="000000"/>
          <w:sz w:val="20"/>
          <w:szCs w:val="20"/>
          <w:lang w:val="sv-SE"/>
        </w:rPr>
      </w:pPr>
    </w:p>
    <w:p w14:paraId="2AEA72A5" w14:textId="77777777" w:rsidR="007663B9" w:rsidRDefault="007663B9" w:rsidP="0089094B">
      <w:pPr>
        <w:spacing w:after="0" w:line="240" w:lineRule="auto"/>
        <w:rPr>
          <w:rFonts w:ascii="Palatino Linotype" w:hAnsi="Palatino Linotype"/>
          <w:b/>
          <w:bCs/>
          <w:color w:val="000000"/>
          <w:sz w:val="20"/>
          <w:szCs w:val="20"/>
          <w:lang w:val="sv-SE"/>
        </w:rPr>
      </w:pPr>
    </w:p>
    <w:p w14:paraId="608D8296" w14:textId="77777777" w:rsidR="007663B9" w:rsidRDefault="007663B9" w:rsidP="0089094B">
      <w:pPr>
        <w:spacing w:after="0" w:line="240" w:lineRule="auto"/>
        <w:rPr>
          <w:rFonts w:ascii="Palatino Linotype" w:hAnsi="Palatino Linotype"/>
          <w:b/>
          <w:bCs/>
          <w:color w:val="000000"/>
          <w:sz w:val="20"/>
          <w:szCs w:val="20"/>
          <w:lang w:val="sv-SE"/>
        </w:rPr>
      </w:pPr>
    </w:p>
    <w:tbl>
      <w:tblPr>
        <w:tblStyle w:val="TableGrid1"/>
        <w:tblpPr w:leftFromText="181" w:rightFromText="181" w:vertAnchor="text" w:horzAnchor="margin" w:tblpXSpec="right" w:tblpY="47"/>
        <w:tblOverlap w:val="never"/>
        <w:tblW w:w="1797" w:type="dxa"/>
        <w:tblInd w:w="0" w:type="dxa"/>
        <w:shd w:val="clear" w:color="auto" w:fill="FFFFFF" w:themeFill="background1"/>
        <w:tblLayout w:type="fixed"/>
        <w:tblLook w:val="0600" w:firstRow="0" w:lastRow="0" w:firstColumn="0" w:lastColumn="0" w:noHBand="1" w:noVBand="1"/>
      </w:tblPr>
      <w:tblGrid>
        <w:gridCol w:w="1797"/>
      </w:tblGrid>
      <w:tr w:rsidR="00095BF6" w:rsidRPr="007B6CE8" w14:paraId="18A62DE4" w14:textId="77777777" w:rsidTr="00EB06E1">
        <w:trPr>
          <w:trHeight w:val="256"/>
        </w:trPr>
        <w:tc>
          <w:tcPr>
            <w:tcW w:w="1797"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334C7EB8" w14:textId="77777777" w:rsidR="00095BF6" w:rsidRPr="007B6CE8" w:rsidRDefault="00095BF6" w:rsidP="00095BF6">
            <w:pPr>
              <w:widowControl w:val="0"/>
              <w:spacing w:after="0" w:line="240" w:lineRule="auto"/>
              <w:ind w:left="-113" w:right="-68"/>
              <w:jc w:val="center"/>
              <w:rPr>
                <w:rFonts w:ascii="Palatino Linotype" w:hAnsi="Palatino Linotype"/>
                <w:b/>
                <w:bCs/>
                <w:color w:val="000000"/>
                <w:sz w:val="14"/>
                <w:szCs w:val="14"/>
                <w:lang w:val="en-US" w:eastAsia="ja-JP"/>
              </w:rPr>
            </w:pPr>
            <w:r w:rsidRPr="007B6CE8">
              <w:rPr>
                <w:rFonts w:ascii="Palatino Linotype" w:hAnsi="Palatino Linotype"/>
                <w:b/>
                <w:noProof w:val="0"/>
                <w:sz w:val="14"/>
                <w:szCs w:val="14"/>
                <w:lang w:val="en-US" w:eastAsia="ja-JP"/>
              </w:rPr>
              <w:lastRenderedPageBreak/>
              <w:t>Article History:</w:t>
            </w:r>
          </w:p>
        </w:tc>
      </w:tr>
      <w:tr w:rsidR="00095BF6" w:rsidRPr="007B6CE8" w14:paraId="502DE40A" w14:textId="77777777" w:rsidTr="00EB06E1">
        <w:trPr>
          <w:trHeight w:val="308"/>
        </w:trPr>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17B170" w14:textId="77777777" w:rsidR="007663B9" w:rsidRDefault="00095BF6" w:rsidP="00095BF6">
            <w:pPr>
              <w:widowControl w:val="0"/>
              <w:spacing w:after="0" w:line="240" w:lineRule="auto"/>
              <w:rPr>
                <w:rFonts w:ascii="Palatino Linotype" w:hAnsi="Palatino Linotype"/>
                <w:noProof w:val="0"/>
                <w:sz w:val="12"/>
                <w:szCs w:val="12"/>
                <w:lang w:val="en-US" w:eastAsia="ja-JP"/>
              </w:rPr>
            </w:pPr>
            <w:r w:rsidRPr="007B6CE8">
              <w:rPr>
                <w:rFonts w:ascii="Palatino Linotype" w:hAnsi="Palatino Linotype"/>
                <w:noProof w:val="0"/>
                <w:sz w:val="12"/>
                <w:szCs w:val="12"/>
                <w:lang w:val="en-US" w:eastAsia="ja-JP"/>
              </w:rPr>
              <w:t xml:space="preserve">Received: </w:t>
            </w:r>
            <w:proofErr w:type="spellStart"/>
            <w:r w:rsidRPr="007B6CE8">
              <w:rPr>
                <w:rFonts w:ascii="Palatino Linotype" w:hAnsi="Palatino Linotype"/>
                <w:noProof w:val="0"/>
                <w:sz w:val="12"/>
                <w:szCs w:val="12"/>
                <w:lang w:val="en-US" w:eastAsia="ja-JP"/>
              </w:rPr>
              <w:t>xxxxx,</w:t>
            </w:r>
            <w:proofErr w:type="spellEnd"/>
          </w:p>
          <w:p w14:paraId="24549E6C" w14:textId="7B405470" w:rsidR="007663B9" w:rsidRDefault="007663B9" w:rsidP="00095BF6">
            <w:pPr>
              <w:widowControl w:val="0"/>
              <w:spacing w:after="0" w:line="240" w:lineRule="auto"/>
              <w:rPr>
                <w:rFonts w:ascii="Palatino Linotype" w:hAnsi="Palatino Linotype"/>
                <w:noProof w:val="0"/>
                <w:sz w:val="12"/>
                <w:szCs w:val="12"/>
                <w:lang w:val="en-US" w:eastAsia="ja-JP"/>
              </w:rPr>
            </w:pPr>
            <w:proofErr w:type="gramStart"/>
            <w:r>
              <w:rPr>
                <w:rFonts w:ascii="Palatino Linotype" w:hAnsi="Palatino Linotype"/>
                <w:noProof w:val="0"/>
                <w:sz w:val="12"/>
                <w:szCs w:val="12"/>
                <w:lang w:val="en-US" w:eastAsia="ja-JP"/>
              </w:rPr>
              <w:t>Revised :</w:t>
            </w:r>
            <w:proofErr w:type="gramEnd"/>
            <w:r>
              <w:rPr>
                <w:rFonts w:ascii="Palatino Linotype" w:hAnsi="Palatino Linotype"/>
                <w:noProof w:val="0"/>
                <w:sz w:val="12"/>
                <w:szCs w:val="12"/>
                <w:lang w:val="en-US" w:eastAsia="ja-JP"/>
              </w:rPr>
              <w:t xml:space="preserve"> </w:t>
            </w:r>
          </w:p>
          <w:p w14:paraId="3A3B3D86" w14:textId="59FEF046" w:rsidR="00095BF6" w:rsidRPr="007B6CE8" w:rsidRDefault="00095BF6" w:rsidP="00095BF6">
            <w:pPr>
              <w:widowControl w:val="0"/>
              <w:spacing w:after="0" w:line="240" w:lineRule="auto"/>
              <w:rPr>
                <w:rFonts w:ascii="Palatino Linotype" w:hAnsi="Palatino Linotype"/>
                <w:noProof w:val="0"/>
                <w:sz w:val="12"/>
                <w:szCs w:val="12"/>
                <w:lang w:val="en-US" w:eastAsia="ja-JP"/>
              </w:rPr>
            </w:pPr>
            <w:r w:rsidRPr="007B6CE8">
              <w:rPr>
                <w:rFonts w:ascii="Palatino Linotype" w:hAnsi="Palatino Linotype"/>
                <w:noProof w:val="0"/>
                <w:sz w:val="12"/>
                <w:szCs w:val="12"/>
                <w:lang w:val="en-US" w:eastAsia="ja-JP"/>
              </w:rPr>
              <w:t xml:space="preserve">Accepted: </w:t>
            </w:r>
            <w:proofErr w:type="spellStart"/>
            <w:r w:rsidRPr="007B6CE8">
              <w:rPr>
                <w:rFonts w:ascii="Palatino Linotype" w:hAnsi="Palatino Linotype"/>
                <w:noProof w:val="0"/>
                <w:sz w:val="12"/>
                <w:szCs w:val="12"/>
                <w:lang w:val="en-US" w:eastAsia="ja-JP"/>
              </w:rPr>
              <w:t>xxxxx</w:t>
            </w:r>
            <w:proofErr w:type="spellEnd"/>
            <w:r w:rsidRPr="007B6CE8">
              <w:rPr>
                <w:rFonts w:ascii="Palatino Linotype" w:hAnsi="Palatino Linotype"/>
                <w:noProof w:val="0"/>
                <w:sz w:val="12"/>
                <w:szCs w:val="12"/>
                <w:lang w:val="en-US" w:eastAsia="ja-JP"/>
              </w:rPr>
              <w:t xml:space="preserve">, </w:t>
            </w:r>
          </w:p>
          <w:p w14:paraId="0DB41247" w14:textId="77777777" w:rsidR="00095BF6" w:rsidRPr="007B6CE8" w:rsidRDefault="00095BF6" w:rsidP="00095BF6">
            <w:pPr>
              <w:widowControl w:val="0"/>
              <w:spacing w:after="0" w:line="240" w:lineRule="auto"/>
              <w:rPr>
                <w:rFonts w:ascii="Palatino Linotype" w:hAnsi="Palatino Linotype"/>
                <w:color w:val="000000"/>
                <w:sz w:val="12"/>
                <w:szCs w:val="12"/>
                <w:lang w:val="en-US" w:eastAsia="ja-JP"/>
              </w:rPr>
            </w:pPr>
            <w:r w:rsidRPr="007B6CE8">
              <w:rPr>
                <w:rFonts w:ascii="Palatino Linotype" w:hAnsi="Palatino Linotype"/>
                <w:noProof w:val="0"/>
                <w:sz w:val="12"/>
                <w:szCs w:val="12"/>
                <w:lang w:val="en-US" w:eastAsia="ja-JP"/>
              </w:rPr>
              <w:t xml:space="preserve">Available </w:t>
            </w:r>
            <w:proofErr w:type="gramStart"/>
            <w:r w:rsidRPr="007B6CE8">
              <w:rPr>
                <w:rFonts w:ascii="Palatino Linotype" w:hAnsi="Palatino Linotype"/>
                <w:noProof w:val="0"/>
                <w:sz w:val="12"/>
                <w:szCs w:val="12"/>
                <w:lang w:val="en-US" w:eastAsia="ja-JP"/>
              </w:rPr>
              <w:t>Online :</w:t>
            </w:r>
            <w:proofErr w:type="gramEnd"/>
            <w:r w:rsidRPr="007B6CE8">
              <w:rPr>
                <w:rFonts w:ascii="Palatino Linotype" w:hAnsi="Palatino Linotype"/>
                <w:noProof w:val="0"/>
                <w:sz w:val="12"/>
                <w:szCs w:val="12"/>
                <w:lang w:val="en-US" w:eastAsia="ja-JP"/>
              </w:rPr>
              <w:t xml:space="preserve"> </w:t>
            </w:r>
            <w:proofErr w:type="spellStart"/>
            <w:r w:rsidRPr="007B6CE8">
              <w:rPr>
                <w:rFonts w:ascii="Palatino Linotype" w:hAnsi="Palatino Linotype"/>
                <w:noProof w:val="0"/>
                <w:sz w:val="12"/>
                <w:szCs w:val="12"/>
                <w:lang w:val="en-US" w:eastAsia="ja-JP"/>
              </w:rPr>
              <w:t>xxxxx</w:t>
            </w:r>
            <w:proofErr w:type="spellEnd"/>
            <w:r w:rsidRPr="007B6CE8">
              <w:rPr>
                <w:rFonts w:ascii="Palatino Linotype" w:hAnsi="Palatino Linotype"/>
                <w:noProof w:val="0"/>
                <w:sz w:val="12"/>
                <w:szCs w:val="12"/>
                <w:lang w:val="en-US" w:eastAsia="ja-JP"/>
              </w:rPr>
              <w:t>.</w:t>
            </w:r>
          </w:p>
        </w:tc>
      </w:tr>
      <w:tr w:rsidR="00095BF6" w:rsidRPr="007B6CE8" w14:paraId="04D2AB02" w14:textId="77777777" w:rsidTr="00EB06E1">
        <w:trPr>
          <w:trHeight w:val="295"/>
        </w:trPr>
        <w:tc>
          <w:tcPr>
            <w:tcW w:w="1797"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0B9240F5" w14:textId="77777777" w:rsidR="00095BF6" w:rsidRPr="007B6CE8" w:rsidRDefault="00095BF6" w:rsidP="00095BF6">
            <w:pPr>
              <w:widowControl w:val="0"/>
              <w:spacing w:after="0" w:line="240" w:lineRule="auto"/>
              <w:ind w:left="-113" w:right="-68"/>
              <w:jc w:val="center"/>
              <w:rPr>
                <w:rFonts w:ascii="Palatino Linotype" w:hAnsi="Palatino Linotype"/>
                <w:b/>
                <w:bCs/>
                <w:color w:val="000000"/>
                <w:sz w:val="14"/>
                <w:szCs w:val="14"/>
                <w:lang w:val="en-US" w:eastAsia="ja-JP"/>
              </w:rPr>
            </w:pPr>
            <w:r w:rsidRPr="007B6CE8">
              <w:rPr>
                <w:rFonts w:ascii="Palatino Linotype" w:hAnsi="Palatino Linotype"/>
                <w:b/>
                <w:noProof w:val="0"/>
                <w:sz w:val="14"/>
                <w:szCs w:val="14"/>
                <w:lang w:val="en-US" w:eastAsia="ja-JP"/>
              </w:rPr>
              <w:t>QR access this Article</w:t>
            </w:r>
          </w:p>
        </w:tc>
      </w:tr>
      <w:tr w:rsidR="00095BF6" w:rsidRPr="007B6CE8" w14:paraId="43CB1BAF" w14:textId="77777777" w:rsidTr="00EB06E1">
        <w:trPr>
          <w:trHeight w:val="1386"/>
        </w:trPr>
        <w:tc>
          <w:tcPr>
            <w:tcW w:w="17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F72174" w14:textId="12BB7A4F" w:rsidR="00095BF6" w:rsidRPr="007B6CE8" w:rsidRDefault="00095BF6" w:rsidP="00095BF6">
            <w:pPr>
              <w:widowControl w:val="0"/>
              <w:spacing w:after="0" w:line="240" w:lineRule="auto"/>
              <w:rPr>
                <w:rFonts w:ascii="Palatino Linotype" w:hAnsi="Palatino Linotype"/>
                <w:b/>
                <w:bCs/>
                <w:color w:val="000000"/>
                <w:lang w:val="en-US" w:eastAsia="ja-JP"/>
              </w:rPr>
            </w:pPr>
          </w:p>
        </w:tc>
      </w:tr>
    </w:tbl>
    <w:p w14:paraId="60A99CD8" w14:textId="6DA05E05" w:rsidR="00095BF6" w:rsidRDefault="00095BF6" w:rsidP="0089094B">
      <w:pPr>
        <w:spacing w:after="0" w:line="240" w:lineRule="auto"/>
        <w:rPr>
          <w:rFonts w:ascii="Palatino Linotype" w:hAnsi="Palatino Linotype"/>
          <w:b/>
          <w:bCs/>
          <w:color w:val="000000"/>
          <w:sz w:val="20"/>
          <w:szCs w:val="20"/>
          <w:lang w:val="sv-SE"/>
        </w:rPr>
      </w:pPr>
      <w:r>
        <w:rPr>
          <w:rFonts w:ascii="Palatino Linotype" w:hAnsi="Palatino Linotype"/>
          <w:b/>
          <w:bCs/>
          <w:color w:val="000000"/>
          <w:sz w:val="20"/>
          <w:szCs w:val="20"/>
          <w:lang w:val="sv-SE"/>
        </w:rPr>
        <mc:AlternateContent>
          <mc:Choice Requires="wpg">
            <w:drawing>
              <wp:anchor distT="0" distB="0" distL="114300" distR="114300" simplePos="0" relativeHeight="251658240" behindDoc="0" locked="0" layoutInCell="1" allowOverlap="1" wp14:anchorId="7CD4B778" wp14:editId="27B7D626">
                <wp:simplePos x="0" y="0"/>
                <wp:positionH relativeFrom="column">
                  <wp:posOffset>10062</wp:posOffset>
                </wp:positionH>
                <wp:positionV relativeFrom="paragraph">
                  <wp:posOffset>12552</wp:posOffset>
                </wp:positionV>
                <wp:extent cx="4800600" cy="1189893"/>
                <wp:effectExtent l="0" t="0" r="0" b="0"/>
                <wp:wrapNone/>
                <wp:docPr id="79932739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600" cy="1189893"/>
                          <a:chOff x="-179614" y="-941614"/>
                          <a:chExt cx="5132614" cy="1094014"/>
                        </a:xfrm>
                      </wpg:grpSpPr>
                      <wps:wsp>
                        <wps:cNvPr id="1809509054" name="Text Box 2"/>
                        <wps:cNvSpPr txBox="1">
                          <a:spLocks noChangeArrowheads="1"/>
                        </wps:cNvSpPr>
                        <wps:spPr bwMode="auto">
                          <a:xfrm>
                            <a:off x="-179614" y="-941614"/>
                            <a:ext cx="5132614" cy="1094014"/>
                          </a:xfrm>
                          <a:prstGeom prst="rect">
                            <a:avLst/>
                          </a:prstGeom>
                          <a:solidFill>
                            <a:schemeClr val="accent2">
                              <a:lumMod val="40000"/>
                              <a:lumOff val="60000"/>
                            </a:schemeClr>
                          </a:solidFill>
                          <a:ln w="9525">
                            <a:noFill/>
                            <a:miter lim="800000"/>
                            <a:headEnd/>
                            <a:tailEnd/>
                          </a:ln>
                        </wps:spPr>
                        <wps:txbx>
                          <w:txbxContent>
                            <w:p w14:paraId="233B478F" w14:textId="77777777" w:rsidR="00095BF6" w:rsidRDefault="00095BF6" w:rsidP="00095BF6">
                              <w:pPr>
                                <w:spacing w:line="240" w:lineRule="auto"/>
                                <w:ind w:left="1560"/>
                                <w:jc w:val="both"/>
                                <w:textboxTightWrap w:val="allLines"/>
                                <w:rPr>
                                  <w:sz w:val="14"/>
                                  <w:szCs w:val="14"/>
                                </w:rPr>
                              </w:pPr>
                              <w:r>
                                <w:rPr>
                                  <w:rFonts w:ascii="Palatino Linotype" w:hAnsi="Palatino Linotype"/>
                                  <w:i/>
                                  <w:sz w:val="14"/>
                                  <w:szCs w:val="14"/>
                                  <w:lang w:val="en-US"/>
                                </w:rPr>
                                <w:t xml:space="preserve">Copyright © 2020 The author(s). You are free to : </w:t>
                              </w:r>
                              <w:r>
                                <w:rPr>
                                  <w:rFonts w:ascii="Palatino Linotype" w:hAnsi="Palatino Linotype"/>
                                  <w:b/>
                                  <w:bCs/>
                                  <w:i/>
                                  <w:sz w:val="14"/>
                                  <w:szCs w:val="14"/>
                                  <w:lang w:val="en-US"/>
                                </w:rPr>
                                <w:t xml:space="preserve">Share </w:t>
                              </w:r>
                              <w:r>
                                <w:rPr>
                                  <w:rFonts w:ascii="Palatino Linotype" w:hAnsi="Palatino Linotype"/>
                                  <w:i/>
                                  <w:sz w:val="14"/>
                                  <w:szCs w:val="14"/>
                                  <w:lang w:val="en-US"/>
                                </w:rPr>
                                <w:t xml:space="preserve">(copy and redistribute the material in any medium or format) and </w:t>
                              </w:r>
                              <w:r>
                                <w:rPr>
                                  <w:rFonts w:ascii="Palatino Linotype" w:hAnsi="Palatino Linotype"/>
                                  <w:b/>
                                  <w:bCs/>
                                  <w:i/>
                                  <w:sz w:val="14"/>
                                  <w:szCs w:val="14"/>
                                  <w:lang w:val="en-US"/>
                                </w:rPr>
                                <w:t xml:space="preserve">Adapt </w:t>
                              </w:r>
                              <w:r>
                                <w:rPr>
                                  <w:rFonts w:ascii="Palatino Linotype" w:hAnsi="Palatino Linotype"/>
                                  <w:i/>
                                  <w:sz w:val="14"/>
                                  <w:szCs w:val="14"/>
                                  <w:lang w:val="en-US"/>
                                </w:rPr>
                                <w:t xml:space="preserve">(remix, transform, and build upon the material) under the following terms: </w:t>
                              </w:r>
                              <w:r>
                                <w:rPr>
                                  <w:rFonts w:ascii="Palatino Linotype" w:hAnsi="Palatino Linotype"/>
                                  <w:b/>
                                  <w:bCs/>
                                  <w:i/>
                                  <w:sz w:val="14"/>
                                  <w:szCs w:val="14"/>
                                  <w:lang w:val="en-US"/>
                                </w:rPr>
                                <w:t xml:space="preserve">Attribution </w:t>
                              </w:r>
                              <w:r>
                                <w:rPr>
                                  <w:rFonts w:ascii="Palatino Linotype" w:hAnsi="Palatino Linotype"/>
                                  <w:i/>
                                  <w:sz w:val="14"/>
                                  <w:szCs w:val="14"/>
                                  <w:lang w:val="en-US"/>
                                </w:rPr>
                                <w:t xml:space="preserve">— You must give appropriate credit, provide a link to the license, and indicate if changes were made. You may do so in any reasonable manner, but not in any way that suggests the licensor endorses you or your use; </w:t>
                              </w:r>
                              <w:r>
                                <w:rPr>
                                  <w:rFonts w:ascii="Palatino Linotype" w:hAnsi="Palatino Linotype"/>
                                  <w:b/>
                                  <w:bCs/>
                                  <w:i/>
                                  <w:sz w:val="14"/>
                                  <w:szCs w:val="14"/>
                                  <w:lang w:val="en-US"/>
                                </w:rPr>
                                <w:t xml:space="preserve">NonCommercial </w:t>
                              </w:r>
                              <w:r>
                                <w:rPr>
                                  <w:rFonts w:ascii="Palatino Linotype" w:hAnsi="Palatino Linotype"/>
                                  <w:i/>
                                  <w:sz w:val="14"/>
                                  <w:szCs w:val="14"/>
                                  <w:lang w:val="en-US"/>
                                </w:rPr>
                                <w:t xml:space="preserve">— You may not use the material for commercial purposes; </w:t>
                              </w:r>
                              <w:r>
                                <w:rPr>
                                  <w:rFonts w:ascii="Palatino Linotype" w:hAnsi="Palatino Linotype"/>
                                  <w:b/>
                                  <w:bCs/>
                                  <w:i/>
                                  <w:sz w:val="14"/>
                                  <w:szCs w:val="14"/>
                                  <w:lang w:val="en-US"/>
                                </w:rPr>
                                <w:t>ShareAlike</w:t>
                              </w:r>
                              <w:r>
                                <w:rPr>
                                  <w:rFonts w:ascii="Palatino Linotype" w:hAnsi="Palatino Linotype"/>
                                  <w:i/>
                                  <w:sz w:val="14"/>
                                  <w:szCs w:val="14"/>
                                  <w:lang w:val="en-US"/>
                                </w:rPr>
                                <w:t xml:space="preserve"> — If you remix, transform, or build upon the material, you must distribute your contributions under the same license as the original. </w:t>
                              </w:r>
                              <w:r>
                                <w:rPr>
                                  <w:rFonts w:ascii="Palatino Linotype" w:hAnsi="Palatino Linotype"/>
                                  <w:i/>
                                  <w:sz w:val="14"/>
                                  <w:szCs w:val="14"/>
                                </w:rPr>
                                <w:t xml:space="preserve">Content from this work may be used under the terms of the a </w:t>
                              </w:r>
                              <w:hyperlink r:id="rId12" w:history="1">
                                <w:r>
                                  <w:rPr>
                                    <w:rStyle w:val="Hyperlink"/>
                                    <w:i/>
                                    <w:sz w:val="14"/>
                                    <w:szCs w:val="14"/>
                                  </w:rPr>
                                  <w:t>Creative Commons Attribution-NonCommercial-ShareAlike 4.0 International (CC BY-NC-SA 4.0) License</w:t>
                                </w:r>
                              </w:hyperlink>
                            </w:p>
                          </w:txbxContent>
                        </wps:txbx>
                        <wps:bodyPr rot="0" vert="horz" wrap="square" lIns="54000" tIns="0" rIns="54000" bIns="0" anchor="t" anchorCtr="0">
                          <a:noAutofit/>
                        </wps:bodyPr>
                      </wps:wsp>
                      <pic:pic xmlns:pic="http://schemas.openxmlformats.org/drawingml/2006/picture">
                        <pic:nvPicPr>
                          <pic:cNvPr id="667304345" name="Picture 4"/>
                          <pic:cNvPicPr/>
                        </pic:nvPicPr>
                        <pic:blipFill>
                          <a:blip r:embed="rId13"/>
                          <a:stretch>
                            <a:fillRect/>
                          </a:stretch>
                        </pic:blipFill>
                        <pic:spPr>
                          <a:xfrm>
                            <a:off x="-103769" y="-767703"/>
                            <a:ext cx="927735" cy="4737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D4B778" id="Group 7" o:spid="_x0000_s1026" style="position:absolute;margin-left:.8pt;margin-top:1pt;width:378pt;height:93.7pt;z-index:251658240;mso-width-relative:margin;mso-height-relative:margin" coordorigin="-1796,-9416" coordsize="51326,10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&#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">
                <v:shapetype id="_x0000_t202" coordsize="21600,21600" o:spt="202" path="m,l,21600r21600,l21600,xe">
                  <v:stroke joinstyle="miter"/>
                  <v:path gradientshapeok="t" o:connecttype="rect"/>
                </v:shapetype>
                <v:shape id="Text Box 2" o:spid="_x0000_s1027" type="#_x0000_t202" style="position:absolute;left:-1796;top:-9416;width:51326;height:10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" fillcolor="#f7caac [1301]" stroked="f">
                  <v:textbox inset="1.5mm,0,1.5mm,0">
                    <w:txbxContent>
                      <w:p w14:paraId="233B478F" w14:textId="77777777" w:rsidR="00095BF6" w:rsidRDefault="00095BF6" w:rsidP="00095BF6">
                        <w:pPr>
                          <w:spacing w:line="240" w:lineRule="auto"/>
                          <w:ind w:left="1560"/>
                          <w:jc w:val="both"/>
                          <w:textboxTightWrap w:val="allLines"/>
                          <w:rPr>
                            <w:sz w:val="14"/>
                            <w:szCs w:val="14"/>
                          </w:rPr>
                        </w:pPr>
                        <w:r>
                          <w:rPr>
                            <w:rFonts w:ascii="Palatino Linotype" w:hAnsi="Palatino Linotype"/>
                            <w:i/>
                            <w:sz w:val="14"/>
                            <w:szCs w:val="14"/>
                            <w:lang w:val="en-US"/>
                          </w:rPr>
                          <w:t xml:space="preserve">Copyright © 2020 The author(s). You are free to : </w:t>
                        </w:r>
                        <w:r>
                          <w:rPr>
                            <w:rFonts w:ascii="Palatino Linotype" w:hAnsi="Palatino Linotype"/>
                            <w:b/>
                            <w:bCs/>
                            <w:i/>
                            <w:sz w:val="14"/>
                            <w:szCs w:val="14"/>
                            <w:lang w:val="en-US"/>
                          </w:rPr>
                          <w:t xml:space="preserve">Share </w:t>
                        </w:r>
                        <w:r>
                          <w:rPr>
                            <w:rFonts w:ascii="Palatino Linotype" w:hAnsi="Palatino Linotype"/>
                            <w:i/>
                            <w:sz w:val="14"/>
                            <w:szCs w:val="14"/>
                            <w:lang w:val="en-US"/>
                          </w:rPr>
                          <w:t xml:space="preserve">(copy and redistribute the material in any medium or format) and </w:t>
                        </w:r>
                        <w:r>
                          <w:rPr>
                            <w:rFonts w:ascii="Palatino Linotype" w:hAnsi="Palatino Linotype"/>
                            <w:b/>
                            <w:bCs/>
                            <w:i/>
                            <w:sz w:val="14"/>
                            <w:szCs w:val="14"/>
                            <w:lang w:val="en-US"/>
                          </w:rPr>
                          <w:t xml:space="preserve">Adapt </w:t>
                        </w:r>
                        <w:r>
                          <w:rPr>
                            <w:rFonts w:ascii="Palatino Linotype" w:hAnsi="Palatino Linotype"/>
                            <w:i/>
                            <w:sz w:val="14"/>
                            <w:szCs w:val="14"/>
                            <w:lang w:val="en-US"/>
                          </w:rPr>
                          <w:t xml:space="preserve">(remix, transform, and build upon the material) under the following terms: </w:t>
                        </w:r>
                        <w:r>
                          <w:rPr>
                            <w:rFonts w:ascii="Palatino Linotype" w:hAnsi="Palatino Linotype"/>
                            <w:b/>
                            <w:bCs/>
                            <w:i/>
                            <w:sz w:val="14"/>
                            <w:szCs w:val="14"/>
                            <w:lang w:val="en-US"/>
                          </w:rPr>
                          <w:t xml:space="preserve">Attribution </w:t>
                        </w:r>
                        <w:r>
                          <w:rPr>
                            <w:rFonts w:ascii="Palatino Linotype" w:hAnsi="Palatino Linotype"/>
                            <w:i/>
                            <w:sz w:val="14"/>
                            <w:szCs w:val="14"/>
                            <w:lang w:val="en-US"/>
                          </w:rPr>
                          <w:t xml:space="preserve">— You must give appropriate credit, provide a link to the license, and indicate if changes were made. You may do so in any reasonable manner, but not in any way that suggests the licensor endorses you or your use; </w:t>
                        </w:r>
                        <w:r>
                          <w:rPr>
                            <w:rFonts w:ascii="Palatino Linotype" w:hAnsi="Palatino Linotype"/>
                            <w:b/>
                            <w:bCs/>
                            <w:i/>
                            <w:sz w:val="14"/>
                            <w:szCs w:val="14"/>
                            <w:lang w:val="en-US"/>
                          </w:rPr>
                          <w:t xml:space="preserve">NonCommercial </w:t>
                        </w:r>
                        <w:r>
                          <w:rPr>
                            <w:rFonts w:ascii="Palatino Linotype" w:hAnsi="Palatino Linotype"/>
                            <w:i/>
                            <w:sz w:val="14"/>
                            <w:szCs w:val="14"/>
                            <w:lang w:val="en-US"/>
                          </w:rPr>
                          <w:t xml:space="preserve">— You may not use the material for commercial purposes; </w:t>
                        </w:r>
                        <w:r>
                          <w:rPr>
                            <w:rFonts w:ascii="Palatino Linotype" w:hAnsi="Palatino Linotype"/>
                            <w:b/>
                            <w:bCs/>
                            <w:i/>
                            <w:sz w:val="14"/>
                            <w:szCs w:val="14"/>
                            <w:lang w:val="en-US"/>
                          </w:rPr>
                          <w:t>ShareAlike</w:t>
                        </w:r>
                        <w:r>
                          <w:rPr>
                            <w:rFonts w:ascii="Palatino Linotype" w:hAnsi="Palatino Linotype"/>
                            <w:i/>
                            <w:sz w:val="14"/>
                            <w:szCs w:val="14"/>
                            <w:lang w:val="en-US"/>
                          </w:rPr>
                          <w:t xml:space="preserve"> — If you remix, transform, or build upon the material, you must distribute your contributions under the same license as the original. </w:t>
                        </w:r>
                        <w:r>
                          <w:rPr>
                            <w:rFonts w:ascii="Palatino Linotype" w:hAnsi="Palatino Linotype"/>
                            <w:i/>
                            <w:sz w:val="14"/>
                            <w:szCs w:val="14"/>
                          </w:rPr>
                          <w:t xml:space="preserve">Content from this work may be used under the terms of the a </w:t>
                        </w:r>
                        <w:hyperlink r:id="rId14" w:history="1">
                          <w:r>
                            <w:rPr>
                              <w:rStyle w:val="Hyperlink"/>
                              <w:i/>
                              <w:sz w:val="14"/>
                              <w:szCs w:val="14"/>
                            </w:rPr>
                            <w:t>Creative Commons Attribution-NonCommercial-ShareAlike 4.0 International (CC BY-NC-SA 4.0) License</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037;top:-7677;width:9276;height: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">
                  <v:imagedata r:id="rId15" o:title=""/>
                </v:shape>
              </v:group>
            </w:pict>
          </mc:Fallback>
        </mc:AlternateContent>
      </w:r>
    </w:p>
    <w:p w14:paraId="584BEED7" w14:textId="0B238B36" w:rsidR="00095BF6" w:rsidRDefault="00095BF6" w:rsidP="0089094B">
      <w:pPr>
        <w:spacing w:after="0" w:line="240" w:lineRule="auto"/>
        <w:rPr>
          <w:rFonts w:ascii="Palatino Linotype" w:hAnsi="Palatino Linotype"/>
          <w:b/>
          <w:bCs/>
          <w:color w:val="000000"/>
          <w:sz w:val="20"/>
          <w:szCs w:val="20"/>
          <w:lang w:val="sv-SE"/>
        </w:rPr>
      </w:pPr>
    </w:p>
    <w:p w14:paraId="1E534D22" w14:textId="6F84B126" w:rsidR="00095BF6" w:rsidRDefault="00095BF6" w:rsidP="0089094B">
      <w:pPr>
        <w:spacing w:after="0" w:line="240" w:lineRule="auto"/>
        <w:rPr>
          <w:rFonts w:ascii="Palatino Linotype" w:hAnsi="Palatino Linotype"/>
          <w:b/>
          <w:bCs/>
          <w:color w:val="000000"/>
          <w:sz w:val="20"/>
          <w:szCs w:val="20"/>
          <w:lang w:val="sv-SE"/>
        </w:rPr>
      </w:pPr>
    </w:p>
    <w:p w14:paraId="33610E89" w14:textId="5D3F5C16" w:rsidR="00095BF6" w:rsidRDefault="00095BF6" w:rsidP="0089094B">
      <w:pPr>
        <w:spacing w:after="0" w:line="240" w:lineRule="auto"/>
        <w:rPr>
          <w:rFonts w:ascii="Palatino Linotype" w:hAnsi="Palatino Linotype"/>
          <w:b/>
          <w:bCs/>
          <w:color w:val="000000"/>
          <w:sz w:val="20"/>
          <w:szCs w:val="20"/>
          <w:lang w:val="sv-SE"/>
        </w:rPr>
      </w:pPr>
    </w:p>
    <w:p w14:paraId="7EF8A244" w14:textId="77777777" w:rsidR="00095BF6" w:rsidRDefault="00095BF6" w:rsidP="0089094B">
      <w:pPr>
        <w:spacing w:after="0" w:line="240" w:lineRule="auto"/>
        <w:rPr>
          <w:rFonts w:ascii="Palatino Linotype" w:hAnsi="Palatino Linotype"/>
          <w:b/>
          <w:bCs/>
          <w:color w:val="000000"/>
          <w:sz w:val="20"/>
          <w:szCs w:val="20"/>
          <w:lang w:val="sv-SE"/>
        </w:rPr>
      </w:pPr>
    </w:p>
    <w:p w14:paraId="59616F87" w14:textId="3956335F" w:rsidR="00095BF6" w:rsidRDefault="00095BF6" w:rsidP="0089094B">
      <w:pPr>
        <w:spacing w:after="0" w:line="240" w:lineRule="auto"/>
        <w:rPr>
          <w:rFonts w:ascii="Palatino Linotype" w:hAnsi="Palatino Linotype"/>
          <w:b/>
          <w:bCs/>
          <w:color w:val="000000"/>
          <w:sz w:val="20"/>
          <w:szCs w:val="20"/>
          <w:lang w:val="sv-SE"/>
        </w:rPr>
      </w:pPr>
    </w:p>
    <w:p w14:paraId="4F167E52" w14:textId="77777777" w:rsidR="00095BF6" w:rsidRDefault="00095BF6" w:rsidP="0089094B">
      <w:pPr>
        <w:spacing w:after="0" w:line="240" w:lineRule="auto"/>
        <w:rPr>
          <w:rFonts w:ascii="Palatino Linotype" w:hAnsi="Palatino Linotype"/>
          <w:b/>
          <w:bCs/>
          <w:color w:val="000000"/>
          <w:sz w:val="20"/>
          <w:szCs w:val="20"/>
          <w:lang w:val="sv-SE"/>
        </w:rPr>
      </w:pPr>
    </w:p>
    <w:p w14:paraId="153EAD02" w14:textId="77777777" w:rsidR="00EB06E1" w:rsidRDefault="00EB06E1" w:rsidP="0089094B">
      <w:pPr>
        <w:spacing w:after="0" w:line="240" w:lineRule="auto"/>
        <w:rPr>
          <w:rFonts w:ascii="Palatino Linotype" w:hAnsi="Palatino Linotype"/>
          <w:b/>
          <w:bCs/>
          <w:color w:val="000000"/>
          <w:sz w:val="20"/>
          <w:szCs w:val="20"/>
          <w:lang w:val="sv-SE"/>
        </w:rPr>
      </w:pPr>
    </w:p>
    <w:p w14:paraId="079A41C5" w14:textId="6CA2E6E4" w:rsidR="00095BF6" w:rsidRPr="00095BF6" w:rsidRDefault="00EB7F85" w:rsidP="00095BF6">
      <w:pPr>
        <w:spacing w:after="0" w:line="240" w:lineRule="auto"/>
        <w:rPr>
          <w:rFonts w:ascii="Palatino Linotype" w:hAnsi="Palatino Linotype"/>
          <w:noProof w:val="0"/>
          <w:color w:val="0000FF"/>
          <w:sz w:val="16"/>
          <w:szCs w:val="15"/>
          <w:u w:val="single"/>
          <w:lang w:val="sv-SE"/>
        </w:rPr>
      </w:pPr>
      <w:hyperlink r:id="rId16" w:history="1">
        <w:r w:rsidRPr="00943226">
          <w:rPr>
            <w:rStyle w:val="Hyperlink"/>
            <w:rFonts w:ascii="Palatino Linotype" w:hAnsi="Palatino Linotype"/>
            <w:noProof w:val="0"/>
            <w:sz w:val="16"/>
            <w:szCs w:val="15"/>
            <w:lang w:val="sv-SE"/>
          </w:rPr>
          <w:t>https://doi.org/10.36490/journal-jps.com</w:t>
        </w:r>
      </w:hyperlink>
    </w:p>
    <w:p w14:paraId="0AAD0C5E" w14:textId="77777777" w:rsidR="00095BF6" w:rsidRPr="00095BF6" w:rsidRDefault="00095BF6" w:rsidP="00FC1B3A">
      <w:pPr>
        <w:spacing w:after="0" w:line="240" w:lineRule="auto"/>
        <w:rPr>
          <w:rFonts w:ascii="Palatino Linotype" w:hAnsi="Palatino Linotype"/>
          <w:b/>
          <w:bCs/>
          <w:color w:val="000000"/>
          <w:lang w:val="sv-SE"/>
        </w:rPr>
      </w:pPr>
    </w:p>
    <w:p w14:paraId="74AEF962" w14:textId="77777777" w:rsidR="00095BF6" w:rsidRDefault="00095BF6" w:rsidP="00FC1B3A">
      <w:pPr>
        <w:spacing w:after="0" w:line="240" w:lineRule="auto"/>
        <w:rPr>
          <w:rFonts w:ascii="Palatino Linotype" w:hAnsi="Palatino Linotype"/>
          <w:b/>
          <w:bCs/>
          <w:color w:val="000000"/>
          <w:lang w:val="sv-SE"/>
        </w:rPr>
      </w:pPr>
    </w:p>
    <w:p w14:paraId="7307E160" w14:textId="4D671A0D" w:rsidR="008D0640" w:rsidRPr="000E3166" w:rsidRDefault="008D0640" w:rsidP="008D0640">
      <w:pPr>
        <w:spacing w:before="240" w:after="0" w:line="240" w:lineRule="auto"/>
        <w:rPr>
          <w:rFonts w:ascii="Palatino Linotype" w:hAnsi="Palatino Linotype"/>
          <w:b/>
          <w:bCs/>
          <w:color w:val="000000"/>
          <w:lang w:val="sv-SE"/>
        </w:rPr>
      </w:pPr>
      <w:r w:rsidRPr="000E3166">
        <w:rPr>
          <w:rFonts w:ascii="Palatino Linotype" w:hAnsi="Palatino Linotype"/>
          <w:b/>
          <w:bCs/>
          <w:color w:val="000000"/>
          <w:lang w:val="sv-SE"/>
        </w:rPr>
        <w:t>PENDAHULUAN</w:t>
      </w:r>
    </w:p>
    <w:p w14:paraId="1ECF4A63" w14:textId="41C1BAEF" w:rsidR="008D0640" w:rsidRPr="00B66C0E" w:rsidRDefault="008D0640" w:rsidP="00B66C0E">
      <w:pPr>
        <w:spacing w:after="0" w:line="240" w:lineRule="auto"/>
        <w:ind w:firstLine="567"/>
        <w:jc w:val="both"/>
        <w:rPr>
          <w:rFonts w:ascii="Palatino Linotype" w:hAnsi="Palatino Linotype" w:cs="Times New Roman"/>
          <w:sz w:val="20"/>
          <w:szCs w:val="20"/>
          <w:lang w:val="sv-SE"/>
        </w:rPr>
      </w:pPr>
      <w:r w:rsidRPr="000E3166">
        <w:rPr>
          <w:rFonts w:ascii="Palatino Linotype" w:hAnsi="Palatino Linotype" w:cs="Times New Roman"/>
          <w:sz w:val="20"/>
          <w:szCs w:val="20"/>
          <w:lang w:val="sv-SE"/>
        </w:rPr>
        <w:t xml:space="preserve">Sindrom Evans (ES) merupakan penyakit autoimun langka yang didefinisikan oleh Dr. Robert Evans dan </w:t>
      </w:r>
      <w:r w:rsidRPr="00B66C0E">
        <w:rPr>
          <w:rFonts w:ascii="Palatino Linotype" w:hAnsi="Palatino Linotype" w:cs="Times New Roman"/>
          <w:sz w:val="20"/>
          <w:szCs w:val="20"/>
          <w:lang w:val="sv-SE"/>
        </w:rPr>
        <w:t xml:space="preserve">rekannya pada tahun 1951 saat ia mempelajari antara anemia hemolitik autoimun (AIHA) dan purpura trombositopenik imun (ITP). Kondisi sindrom Evans didefinisikan sebagai kejadian ITP dan AIHA yang terjadi bersamaan atau berurutan, dan dalam beberapa kasus sindrom ini juga dapat melibatkan neutropenia autoimun yang dikaitkan pada 50% kasus dewasa seperti SLE, keganasan, hematologi, atau PID. </w:t>
      </w:r>
      <w:r w:rsidRPr="00B66C0E">
        <w:rPr>
          <w:rFonts w:ascii="Palatino Linotype" w:hAnsi="Palatino Linotype" w:cs="Times New Roman"/>
          <w:sz w:val="20"/>
          <w:szCs w:val="20"/>
        </w:rPr>
        <w:t xml:space="preserve">Hal tersebut menjadikan sindrom Evans menjadi penyakit yang kompleks </w:t>
      </w:r>
      <w:r w:rsidRPr="00B66C0E">
        <w:rPr>
          <w:rFonts w:ascii="Palatino Linotype" w:hAnsi="Palatino Linotype" w:cs="Times New Roman"/>
          <w:sz w:val="20"/>
          <w:szCs w:val="20"/>
        </w:rPr>
        <w:fldChar w:fldCharType="begin" w:fldLock="1"/>
      </w:r>
      <w:r w:rsidR="00AE4DEC" w:rsidRPr="00B66C0E">
        <w:rPr>
          <w:rFonts w:ascii="Palatino Linotype" w:hAnsi="Palatino Linotype" w:cs="Times New Roman"/>
          <w:sz w:val="20"/>
          <w:szCs w:val="20"/>
        </w:rPr>
        <w:instrText>ADDIN CSL_CITATION {"citationItems":[{"id":"ITEM-1","itemData":{"DOI":"10.2147/JBM.S176144","ISSN":"11792736","PMID":"30349415","abstract":"Evans syndrome (ES) is a rare and chronic autoimmune disease characterized by autoimmune hemolytic anemia and immune thrombocytopenic purpura with a positive direct anti-human globulin test. It is classified as primary and secondary, with the frequency in patients with autoimmune hemolytic anemia being 37%–73%. It predominates in children, mainly due to primary immunodeficiencies or autoimmune lymphoproliferative syndrome. ES during pregnancy is associated with high fetal morbidity, including severe hemolysis and intracranial bleeding with neurological sequelae and death. The clinical presentation can include fatigue, pallor, jaundice and mucosal bleeding, with remissions and exacerbations during the person’s lifetime, and acute manifestations as catastrophic bleeding and massive hemolysis. Recent molecular theories explaining the physiopathology of ES include deficiencies of CTLA-4, LRBA, TPP2 and a decreased CD4/CD8 ratio. As in other autoimmune cytopenias, there is no established evidence-based treatment and steroids are the first-line therapy, with intravenous immunoglobulin administered as a life-saving resource in cases of severe immune thrombocytopenic purpura manifestations. Second-line treatment for refractory ES includes rituximab, mofetil mycophenolate, cyclosporine, vincristine, azathioprine, sirolimus and thrombopoietin receptor agonists. In cases unresponsive to immunosuppressive agents, hematopoietic stem cell transplantation has been successful, although it is necessary to consider its potential serious adverse effects. In conclusion, ES is a disease with a heterogeneous course that remains challenging to patients and physicians, with prospective clinical trials needed to explore potential targeted therapy to achieve an improved long-term response or even a cure.","author":[{"dropping-particle":"","family":"Jaime-Pérez","given":"José Carlos","non-dropping-particle":"","parse-names":false,"suffix":""},{"dropping-particle":"","family":"Elva","given":"Patrizia","non-dropping-particle":"","parse-names":false,"suffix":""},{"dropping-particle":"","family":"Aguilar-Calderón","given":"","non-dropping-particle":"","parse-names":false,"suffix":""},{"dropping-particle":"","family":"Salazar-Cavazos","given":"Lorena","non-dropping-particle":"","parse-names":false,"suffix":""},{"dropping-particle":"","family":"Gómez-Almaguer","given":"David","non-dropping-particle":"","parse-names":false,"suffix":""}],"container-title":"Journal of Blood Medicine","id":"ITEM-1","issued":{"date-parts":[["2018"]]},"page":"171-184","title":"Evans syndrome: Clinical perspectives, biological insights and treatment modalities","type":"article-journal","volume":"9"},"uris":["http://www.mendeley.com/documents/?uuid=ccfdb421-1aec-4488-bbe0-83dd784ef9a3","http://www.mendeley.com/documents/?uuid=761b199c-2af2-4eb5-bcd8-3e906bcd2a66"]},{"id":"ITEM-2","itemData":{"DOI":"10.3390/jcm9123851","ISSN":"20770383","PMID":"33260979","abstract":"Evans’ syndrome (ES) is defined as the concomitant or sequential association of warm auto-immune haemolytic anaemia (AIHA) with immune thrombocytopenia (ITP), and less frequently autoimmune neutropenia. ES is a rare situation that represents up to 7% of AIHA and around 2% of ITP. When AIHA and ITP occurred concomitantly, the diagnosis procedure must rule out differential diagnoses such as thrombotic microangiopathies, anaemia due to bleedings complicating ITP, vitamin deficiencies, myelodysplastic syndromes, paroxysmal nocturnal haemoglobinuria, or specific conditions like HELLP when occurring during pregnancy. As for isolated auto-immune cytopenia (AIC), the determination of the primary or secondary nature of ES is important. Indeed, the association of ES with other diseases such as haematological malignancies, systemic lupus erythematosus, infections, or primary immune deficiencies can interfere with its management or alter its prognosis. Due to the rarity of the disease, the treatment of ES is mostly extrapolated from what is recommended for isolated AIC and mostly relies on corticosteroids, rituximab, splenectomy, and supportive therapies. The place for thrombopoietin receptor agonists, erythropoietin, immunosuppressants, haematopoietic cell transplantation, and thromboprophylaxis is also discussed in this review. Despite continuous progress in the management of AIC and a gradual increase in ES survival, the mortality due to ES remains higher than the ones of isolated AIC, supporting the need for an improvement in ES management.","author":[{"dropping-particle":"","family":"Audia","given":"Sylvain","non-dropping-particle":"","parse-names":false,"suffix":""},{"dropping-particle":"","family":"Grienay","given":"Natacha","non-dropping-particle":"","parse-names":false,"suffix":""},{"dropping-particle":"","family":"Mounier","given":"Morgane","non-dropping-particle":"","parse-names":false,"suffix":""},{"dropping-particle":"","family":"Michel","given":"Marc","non-dropping-particle":"","parse-names":false,"suffix":""},{"dropping-particle":"","family":"Bonnotte","given":"Bernard","non-dropping-particle":"","parse-names":false,"suffix":""}],"container-title":"Journal of Clinical Medicine","id":"ITEM-2","issue":"12","issued":{"date-parts":[["2020"]]},"page":"1-22","title":"Evans’ syndrome: From diagnosis to treatment","type":"article-journal","volume":"9"},"uris":["http://www.mendeley.com/documents/?uuid=f8d1607d-9bb7-46ae-a3a5-b5dfe5fe482b","http://www.mendeley.com/documents/?uuid=99e78dbf-8a8f-430b-bddb-a451279d1d77"]}],"mendeley":{"formattedCitation":"[1,2]","plainTextFormattedCitation":"[1,2]","previouslyFormattedCitation":"(1,2)"},"properties":{"noteIndex":0},"schema":"https://github.com/citation-style-language/schema/raw/master/csl-citation.json"}</w:instrText>
      </w:r>
      <w:r w:rsidRPr="00B66C0E">
        <w:rPr>
          <w:rFonts w:ascii="Palatino Linotype" w:hAnsi="Palatino Linotype" w:cs="Times New Roman"/>
          <w:sz w:val="20"/>
          <w:szCs w:val="20"/>
        </w:rPr>
        <w:fldChar w:fldCharType="separate"/>
      </w:r>
      <w:r w:rsidR="00AE4DEC" w:rsidRPr="00B66C0E">
        <w:rPr>
          <w:rFonts w:ascii="Palatino Linotype" w:hAnsi="Palatino Linotype" w:cs="Times New Roman"/>
          <w:sz w:val="20"/>
          <w:szCs w:val="20"/>
        </w:rPr>
        <w:t>[1,2]</w:t>
      </w:r>
      <w:r w:rsidRPr="00B66C0E">
        <w:rPr>
          <w:rFonts w:ascii="Palatino Linotype" w:hAnsi="Palatino Linotype" w:cs="Times New Roman"/>
          <w:sz w:val="20"/>
          <w:szCs w:val="20"/>
        </w:rPr>
        <w:fldChar w:fldCharType="end"/>
      </w:r>
      <w:r w:rsidRPr="00B66C0E">
        <w:rPr>
          <w:rFonts w:ascii="Palatino Linotype" w:hAnsi="Palatino Linotype" w:cs="Times New Roman"/>
          <w:sz w:val="20"/>
          <w:szCs w:val="20"/>
        </w:rPr>
        <w:t xml:space="preserve">. Rata-rata penundaan sitopenia yang berbeda 3 tahun, namun hal tersebut dapat bervariasi </w:t>
      </w:r>
      <w:r w:rsidRPr="00B66C0E">
        <w:rPr>
          <w:rFonts w:ascii="Palatino Linotype" w:hAnsi="Palatino Linotype" w:cs="Times New Roman"/>
          <w:sz w:val="20"/>
          <w:szCs w:val="20"/>
        </w:rPr>
        <w:fldChar w:fldCharType="begin" w:fldLock="1"/>
      </w:r>
      <w:r w:rsidR="00AE4DEC" w:rsidRPr="00B66C0E">
        <w:rPr>
          <w:rFonts w:ascii="Palatino Linotype" w:hAnsi="Palatino Linotype" w:cs="Times New Roman"/>
          <w:sz w:val="20"/>
          <w:szCs w:val="20"/>
        </w:rPr>
        <w:instrText>ADDIN CSL_CITATION {"citationItems":[{"id":"ITEM-1","itemData":{"DOI":"10.1016/j.hoc.2021.12.004","ISSN":"15581977","PMID":"35282950","author":[{"dropping-particle":"","family":"Michel","given":"Marc","non-dropping-particle":"","parse-names":false,"suffix":""}],"container-title":"Hematology/Oncology Clinics of North America","id":"ITEM-1","issue":"2","issued":{"date-parts":[["2022"]]},"page":"381-392","publisher":"Elsevier Inc.","title":"Adult Evans' Syndrome","type":"article-journal","volume":"36"},"uris":["http://www.mendeley.com/documents/?uuid=eadc2344-ac31-4a54-91e9-599c97aac1b0","http://www.mendeley.com/documents/?uuid=8e44b75e-01a5-452e-9eca-30e9a184b3df"]}],"mendeley":{"formattedCitation":"[3]","plainTextFormattedCitation":"[3]","previouslyFormattedCitation":"(3)"},"properties":{"noteIndex":0},"schema":"https://github.com/citation-style-language/schema/raw/master/csl-citation.json"}</w:instrText>
      </w:r>
      <w:r w:rsidRPr="00B66C0E">
        <w:rPr>
          <w:rFonts w:ascii="Palatino Linotype" w:hAnsi="Palatino Linotype" w:cs="Times New Roman"/>
          <w:sz w:val="20"/>
          <w:szCs w:val="20"/>
        </w:rPr>
        <w:fldChar w:fldCharType="separate"/>
      </w:r>
      <w:r w:rsidR="00AE4DEC" w:rsidRPr="00B66C0E">
        <w:rPr>
          <w:rFonts w:ascii="Palatino Linotype" w:hAnsi="Palatino Linotype" w:cs="Times New Roman"/>
          <w:sz w:val="20"/>
          <w:szCs w:val="20"/>
        </w:rPr>
        <w:t>[3]</w:t>
      </w:r>
      <w:r w:rsidRPr="00B66C0E">
        <w:rPr>
          <w:rFonts w:ascii="Palatino Linotype" w:hAnsi="Palatino Linotype" w:cs="Times New Roman"/>
          <w:sz w:val="20"/>
          <w:szCs w:val="20"/>
        </w:rPr>
        <w:fldChar w:fldCharType="end"/>
      </w:r>
      <w:r w:rsidRPr="00B66C0E">
        <w:rPr>
          <w:rFonts w:ascii="Palatino Linotype" w:hAnsi="Palatino Linotype" w:cs="Times New Roman"/>
          <w:sz w:val="20"/>
          <w:szCs w:val="20"/>
        </w:rPr>
        <w:t xml:space="preserve">. Sistem kekebalan tubuh pada sindrom evans menghasilkan antibodi yang secara keliru dapat menghancurkan sel darah merah, sel darah putih, dan/atau trombosit </w:t>
      </w:r>
      <w:r w:rsidRPr="00B66C0E">
        <w:rPr>
          <w:rFonts w:ascii="Palatino Linotype" w:hAnsi="Palatino Linotype" w:cs="Times New Roman"/>
          <w:sz w:val="20"/>
          <w:szCs w:val="20"/>
        </w:rPr>
        <w:fldChar w:fldCharType="begin" w:fldLock="1"/>
      </w:r>
      <w:r w:rsidR="00AE4DEC" w:rsidRPr="00B66C0E">
        <w:rPr>
          <w:rFonts w:ascii="Palatino Linotype" w:hAnsi="Palatino Linotype" w:cs="Times New Roman"/>
          <w:sz w:val="20"/>
          <w:szCs w:val="20"/>
        </w:rPr>
        <w:instrText>ADDIN CSL_CITATION {"citationItems":[{"id":"ITEM-1","itemData":{"DOI":"10.31579/2690-8794/207","author":[{"dropping-particle":"","family":"Asadi","given":"Shahin","non-dropping-particle":"","parse-names":false,"suffix":""},{"dropping-particle":"","family":"Gholizadeh","given":"Zahra","non-dropping-particle":"","parse-names":false,"suffix":""},{"dropping-particle":"","family":"Amirabadi","given":"Hamid","non-dropping-particle":"","parse-names":false,"suffix":""}],"id":"ITEM-1","issue":"April","issued":{"date-parts":[["2024"]]},"title":"A Comprehensive Review of the Pathological Mechanism of Evans Syndrome A Comprehensive Review of the Pathological Mechanism of Evans Syndrome","type":"article-journal"},"uris":["http://www.mendeley.com/documents/?uuid=22922db0-24fe-4a43-8ed4-2f0d8ccacba4","http://www.mendeley.com/documents/?uuid=cb39c610-e915-4998-bff2-37f318a787dd"]}],"mendeley":{"formattedCitation":"[4]","plainTextFormattedCitation":"[4]","previouslyFormattedCitation":"(4)"},"properties":{"noteIndex":0},"schema":"https://github.com/citation-style-language/schema/raw/master/csl-citation.json"}</w:instrText>
      </w:r>
      <w:r w:rsidRPr="00B66C0E">
        <w:rPr>
          <w:rFonts w:ascii="Palatino Linotype" w:hAnsi="Palatino Linotype" w:cs="Times New Roman"/>
          <w:sz w:val="20"/>
          <w:szCs w:val="20"/>
        </w:rPr>
        <w:fldChar w:fldCharType="separate"/>
      </w:r>
      <w:r w:rsidR="00AE4DEC" w:rsidRPr="00B66C0E">
        <w:rPr>
          <w:rFonts w:ascii="Palatino Linotype" w:hAnsi="Palatino Linotype" w:cs="Times New Roman"/>
          <w:sz w:val="20"/>
          <w:szCs w:val="20"/>
        </w:rPr>
        <w:t>[4]</w:t>
      </w:r>
      <w:r w:rsidRPr="00B66C0E">
        <w:rPr>
          <w:rFonts w:ascii="Palatino Linotype" w:hAnsi="Palatino Linotype" w:cs="Times New Roman"/>
          <w:sz w:val="20"/>
          <w:szCs w:val="20"/>
        </w:rPr>
        <w:fldChar w:fldCharType="end"/>
      </w:r>
      <w:r w:rsidRPr="00B66C0E">
        <w:rPr>
          <w:rFonts w:ascii="Palatino Linotype" w:hAnsi="Palatino Linotype" w:cs="Times New Roman"/>
          <w:sz w:val="20"/>
          <w:szCs w:val="20"/>
        </w:rPr>
        <w:t xml:space="preserve">. Hal ini menyebabkan seseorang mengalami trombositopenia (trombosit terlalu sedikit) dan anemia hemolitik positif </w:t>
      </w:r>
      <w:r w:rsidRPr="00B66C0E">
        <w:rPr>
          <w:rFonts w:ascii="Palatino Linotype" w:hAnsi="Palatino Linotype" w:cs="Times New Roman"/>
          <w:i/>
          <w:iCs/>
          <w:sz w:val="20"/>
          <w:szCs w:val="20"/>
        </w:rPr>
        <w:t>Coombs</w:t>
      </w:r>
      <w:r w:rsidRPr="00B66C0E">
        <w:rPr>
          <w:rFonts w:ascii="Palatino Linotype" w:hAnsi="Palatino Linotype" w:cs="Times New Roman"/>
          <w:sz w:val="20"/>
          <w:szCs w:val="20"/>
        </w:rPr>
        <w:t xml:space="preserve"> (kerusakan sel darah merah sebelum waktunya). </w:t>
      </w:r>
      <w:r w:rsidRPr="00B66C0E">
        <w:rPr>
          <w:rFonts w:ascii="Palatino Linotype" w:hAnsi="Palatino Linotype" w:cs="Times New Roman"/>
          <w:sz w:val="20"/>
          <w:szCs w:val="20"/>
          <w:lang w:val="sv-SE"/>
        </w:rPr>
        <w:t>Gejala dan tingkat keparahan sindrom Evans bervariasi antar individu begitu pula dengan perjalanan penyakitnya. Perjalanan penyakit Evans syndrome umumnya bersifat kronis dan heterogen, dengan variabilitas klinis pada saat onset, remisi spontan, dan eksaserbasi. Sebagian besar gejala ES disebabkan rendahnya kadar sel darah tertentu dalam tubuh. Gejala ES dapat muncul dengan kaitannya terhadap trombositopenia (</w:t>
      </w:r>
      <w:r w:rsidRPr="00B66C0E">
        <w:rPr>
          <w:rFonts w:ascii="Palatino Linotype" w:hAnsi="Palatino Linotype" w:cs="Times New Roman"/>
          <w:i/>
          <w:iCs/>
          <w:sz w:val="20"/>
          <w:szCs w:val="20"/>
          <w:lang w:val="sv-SE"/>
        </w:rPr>
        <w:t>purpura</w:t>
      </w:r>
      <w:r w:rsidRPr="00B66C0E">
        <w:rPr>
          <w:rFonts w:ascii="Palatino Linotype" w:hAnsi="Palatino Linotype" w:cs="Times New Roman"/>
          <w:sz w:val="20"/>
          <w:szCs w:val="20"/>
          <w:lang w:val="sv-SE"/>
        </w:rPr>
        <w:t xml:space="preserve">, </w:t>
      </w:r>
      <w:r w:rsidRPr="00B66C0E">
        <w:rPr>
          <w:rFonts w:ascii="Palatino Linotype" w:hAnsi="Palatino Linotype" w:cs="Times New Roman"/>
          <w:i/>
          <w:iCs/>
          <w:sz w:val="20"/>
          <w:szCs w:val="20"/>
          <w:lang w:val="sv-SE"/>
        </w:rPr>
        <w:t>petechiae</w:t>
      </w:r>
      <w:r w:rsidRPr="00B66C0E">
        <w:rPr>
          <w:rFonts w:ascii="Palatino Linotype" w:hAnsi="Palatino Linotype" w:cs="Times New Roman"/>
          <w:sz w:val="20"/>
          <w:szCs w:val="20"/>
          <w:lang w:val="sv-SE"/>
        </w:rPr>
        <w:t xml:space="preserve">, ekimosis, pendarahan mukosa dalam bentuk menoragi, hematuria, dan pendarahan lambung), atau gejala yang berhubungan dengan anemia hemolitik (pucat, lelah, dan pusing), atau gejala keduanya. Penyakit kuning dapat mengindikasikan hemolisis. Pada kasus yang parah, gagal jantung dapat terjadi </w:t>
      </w:r>
      <w:r w:rsidRPr="00B66C0E">
        <w:rPr>
          <w:rFonts w:ascii="Palatino Linotype" w:hAnsi="Palatino Linotype" w:cs="Times New Roman"/>
          <w:sz w:val="20"/>
          <w:szCs w:val="20"/>
        </w:rPr>
        <w:fldChar w:fldCharType="begin" w:fldLock="1"/>
      </w:r>
      <w:r w:rsidR="00AE4DEC" w:rsidRPr="00B66C0E">
        <w:rPr>
          <w:rFonts w:ascii="Palatino Linotype" w:hAnsi="Palatino Linotype" w:cs="Times New Roman"/>
          <w:sz w:val="20"/>
          <w:szCs w:val="20"/>
          <w:lang w:val="sv-SE"/>
        </w:rPr>
        <w:instrText>ADDIN CSL_CITATION {"citationItems":[{"id":"ITEM-1","itemData":{"DOI":"10.24875/hgmx.19000073","abstract":"Evans syndrome is a very rare disorder in medical practice that can be both idiopathic and secondary to another underlying pathology. It is a clinical manifestation of autoimmune hemolytic anemia (AIHA) that can be simultaneous or subsequent to autoimmune thrombocytopenia (AITP). Sometimes, it can be accompanied by autoimmune neutropenia. It is estimated that 0.8-4% of patients with ITP or AIHA suffer from this syndrome. The case of a 32-year-old female patient with a history of systemic lupus erythematosus is described, who was admitted at the emergency unit of our hospital, presenting symptoms of asthenia, adynamia, and hyporexia.","author":[{"dropping-particle":"","family":"Díaz-García","given":"Juan D.","non-dropping-particle":"","parse-names":false,"suffix":""},{"dropping-particle":"","family":"Carrera-Patiño","given":"Fabián A.","non-dropping-particle":"","parse-names":false,"suffix":""}],"container-title":"Revista M</w:instrText>
      </w:r>
      <w:r w:rsidR="00AE4DEC" w:rsidRPr="00B66C0E">
        <w:rPr>
          <w:rFonts w:ascii="Palatino Linotype" w:hAnsi="Palatino Linotype" w:cs="Palatino Linotype"/>
          <w:sz w:val="20"/>
          <w:szCs w:val="20"/>
          <w:lang w:val="sv-SE"/>
        </w:rPr>
        <w:instrText>�</w:instrText>
      </w:r>
      <w:r w:rsidR="00AE4DEC" w:rsidRPr="00B66C0E">
        <w:rPr>
          <w:rFonts w:ascii="Palatino Linotype" w:hAnsi="Palatino Linotype" w:cs="Times New Roman"/>
          <w:sz w:val="20"/>
          <w:szCs w:val="20"/>
          <w:lang w:val="sv-SE"/>
        </w:rPr>
        <w:instrText>dica del Hospital General de M</w:instrText>
      </w:r>
      <w:r w:rsidR="00AE4DEC" w:rsidRPr="00B66C0E">
        <w:rPr>
          <w:rFonts w:ascii="Palatino Linotype" w:hAnsi="Palatino Linotype" w:cs="Palatino Linotype"/>
          <w:sz w:val="20"/>
          <w:szCs w:val="20"/>
          <w:lang w:val="sv-SE"/>
        </w:rPr>
        <w:instrText>�</w:instrText>
      </w:r>
      <w:r w:rsidR="00AE4DEC" w:rsidRPr="00B66C0E">
        <w:rPr>
          <w:rFonts w:ascii="Palatino Linotype" w:hAnsi="Palatino Linotype" w:cs="Times New Roman"/>
          <w:sz w:val="20"/>
          <w:szCs w:val="20"/>
          <w:lang w:val="sv-SE"/>
        </w:rPr>
        <w:instrText>xico","id":"ITEM-1","issue":"2","issued":{"date-parts":[["2020"]]},"page":"0-3","title":"Evans syndrome: A purpose of a case","type":"article-journal","volume":"83"},"uris":["http://www.mendeley.com/documents/?uuid=4bf32a90-e305-4bee-8580-4fb11f5cb5ae","http://www.mendeley.com/documents/?uuid=ff534455-0052-4982-ab9d-762da211d5e8"]},{"id":"ITEM-2","itemData":{"DOI":"10.18203/2349-3933.ijam20223409","ISSN":"2349-3925","abstract":"Evans syndrome is an autoimmune disorder described by Robert Evans in 1951 specifying that a link exists between primary thrombocytopenic purpura and acquired haemolytic anaemia. It is a rare autoimmune disorder characterised by the simultaneous or sequential development of autoimmune haemolytic anaemia (AIHA) and immune thrombocytopenia (ITP) with or without immune neutropenia. Approximately, Evans syndrome represent 5-10% of warm autoimmune haemolytic anaemia cases and 2-5% of ITP cases. It is basically a diagnosis of exclusion. We present a 50-year-old female presented with anaemia, jaundice and petechia. Patient indirect bilirubin was raised, Coombs test was positive, lactate dehydrogenase and reticulocyte count were raised. Based on the Coombs positive haemolytic anaemia and thrombocytopenia patient was diagnosed with Evans syndrome. ANA profile was positive for SS-A suggestive of underlying autoimmune disorder. Evans syndrome is difficult to diagnose and treat. Typically, corticosteroids and other immunosuppressive medications are used to manage the syndrome. ","author":[{"dropping-particle":"","family":"Kaluvai","given":"Sai Indraneel","non-dropping-particle":"","parse-names":false,"suffix":""},{"dropping-particle":"","family":"V.","given":"Rajalakshmi K.","non-dropping-particle":"","parse-names":false,"suffix":""},{"dropping-particle":"","family":"Y.","given":"Dayanandan","non-dropping-particle":"","parse-names":false,"suffix":""}],"container-title":"International Journal of Advances in Medicine","id":"ITEM-2","issue":"1","issued":{"date-parts":[["2022"]]},"page":"99","title":"A case of Evans syndrome","type":"article-journal","volume":"10"},"uris":["http://www.mendeley.com/documents/?uuid=c3c3b6d0-313d-40c4-b6d0-d0c7bc10bd74","http://www.mendeley.com/documents/?uuid=6db02cd7-0cc9-4320-b492-d19da7dd95ac"]}],"mendeley":{"formattedCitation":"[5,6]","plainTextFormattedCitation":"[5,6]","previouslyFormattedCitation":"(5,6)"},"properties":{"noteIndex":0},"schema":"https://github.com/citation-style-language/schema/raw/master/csl-citation.json"}</w:instrText>
      </w:r>
      <w:r w:rsidRPr="00B66C0E">
        <w:rPr>
          <w:rFonts w:ascii="Palatino Linotype" w:hAnsi="Palatino Linotype" w:cs="Times New Roman"/>
          <w:sz w:val="20"/>
          <w:szCs w:val="20"/>
        </w:rPr>
        <w:fldChar w:fldCharType="separate"/>
      </w:r>
      <w:r w:rsidR="00AE4DEC" w:rsidRPr="00B66C0E">
        <w:rPr>
          <w:rFonts w:ascii="Palatino Linotype" w:hAnsi="Palatino Linotype" w:cs="Times New Roman"/>
          <w:sz w:val="20"/>
          <w:szCs w:val="20"/>
          <w:lang w:val="sv-SE"/>
        </w:rPr>
        <w:t>[5,6]</w:t>
      </w:r>
      <w:r w:rsidRPr="00B66C0E">
        <w:rPr>
          <w:rFonts w:ascii="Palatino Linotype" w:hAnsi="Palatino Linotype" w:cs="Times New Roman"/>
          <w:sz w:val="20"/>
          <w:szCs w:val="20"/>
        </w:rPr>
        <w:fldChar w:fldCharType="end"/>
      </w:r>
      <w:r w:rsidRPr="00B66C0E">
        <w:rPr>
          <w:rFonts w:ascii="Palatino Linotype" w:hAnsi="Palatino Linotype" w:cs="Times New Roman"/>
          <w:sz w:val="20"/>
          <w:szCs w:val="20"/>
          <w:lang w:val="sv-SE"/>
        </w:rPr>
        <w:t xml:space="preserve">.  </w:t>
      </w:r>
    </w:p>
    <w:p w14:paraId="116588D1" w14:textId="4ACE1048" w:rsidR="008D0640" w:rsidRPr="00B66C0E" w:rsidRDefault="008D0640" w:rsidP="00B66C0E">
      <w:pPr>
        <w:spacing w:after="0" w:line="240" w:lineRule="auto"/>
        <w:ind w:firstLine="567"/>
        <w:jc w:val="both"/>
        <w:rPr>
          <w:rFonts w:ascii="Palatino Linotype" w:hAnsi="Palatino Linotype" w:cs="Times New Roman"/>
          <w:sz w:val="20"/>
          <w:szCs w:val="20"/>
          <w:lang w:val="sv-SE"/>
        </w:rPr>
      </w:pPr>
      <w:r w:rsidRPr="00B66C0E">
        <w:rPr>
          <w:rFonts w:ascii="Palatino Linotype" w:hAnsi="Palatino Linotype" w:cs="Times New Roman"/>
          <w:sz w:val="20"/>
          <w:szCs w:val="20"/>
          <w:lang w:val="sv-SE"/>
        </w:rPr>
        <w:t xml:space="preserve">Sindrom evans lebih umum terjadi pada populasi anak-anak dibandingkan orang dewasa dan sering dikaitkan dengan penyakit autoimun yang mendasarinya. Tetapi dapat terjadi pada orang dewasa dengan rata-rata usia &gt;50 tahun. Sindrom Evans didiagnosis pada kurang dari 5% pasien dengan purpura trombositopenik idiopatik (ITP) atau anemia hemolitik autoimun (AIHA) </w:t>
      </w:r>
      <w:r w:rsidRPr="00B66C0E">
        <w:rPr>
          <w:rFonts w:ascii="Palatino Linotype" w:hAnsi="Palatino Linotype" w:cs="Times New Roman"/>
          <w:sz w:val="20"/>
          <w:szCs w:val="20"/>
        </w:rPr>
        <w:fldChar w:fldCharType="begin" w:fldLock="1"/>
      </w:r>
      <w:r w:rsidR="00AE4DEC" w:rsidRPr="00B66C0E">
        <w:rPr>
          <w:rFonts w:ascii="Palatino Linotype" w:hAnsi="Palatino Linotype" w:cs="Times New Roman"/>
          <w:sz w:val="20"/>
          <w:szCs w:val="20"/>
          <w:lang w:val="sv-SE"/>
        </w:rPr>
        <w:instrText>ADDIN CSL_CITATION {"citationItems":[{"id":"ITEM-1","itemData":{"DOI":"10.12659/AJCR.920760","ISSN":"19415923","PMID":"32029698","abstract":"Patient: Male, 60-year-old</w:instrText>
      </w:r>
      <w:r w:rsidR="00AE4DEC" w:rsidRPr="00B66C0E">
        <w:rPr>
          <w:rFonts w:ascii="Palatino Linotype" w:hAnsi="Palatino Linotype" w:cs="Palatino Linotype"/>
          <w:sz w:val="20"/>
          <w:szCs w:val="20"/>
          <w:lang w:val="sv-SE"/>
        </w:rPr>
        <w:instrText>�</w:instrText>
      </w:r>
      <w:r w:rsidR="00AE4DEC" w:rsidRPr="00B66C0E">
        <w:rPr>
          <w:rFonts w:ascii="Palatino Linotype" w:hAnsi="Palatino Linotype" w:cs="Times New Roman"/>
          <w:sz w:val="20"/>
          <w:szCs w:val="20"/>
          <w:lang w:val="sv-SE"/>
        </w:rPr>
        <w:instrText xml:space="preserve"> Final Diagnosis: Evans syndrome</w:instrText>
      </w:r>
      <w:r w:rsidR="00AE4DEC" w:rsidRPr="00B66C0E">
        <w:rPr>
          <w:rFonts w:ascii="Palatino Linotype" w:hAnsi="Palatino Linotype" w:cs="Palatino Linotype"/>
          <w:sz w:val="20"/>
          <w:szCs w:val="20"/>
          <w:lang w:val="sv-SE"/>
        </w:rPr>
        <w:instrText>�</w:instrText>
      </w:r>
      <w:r w:rsidR="00AE4DEC" w:rsidRPr="00B66C0E">
        <w:rPr>
          <w:rFonts w:ascii="Palatino Linotype" w:hAnsi="Palatino Linotype" w:cs="Times New Roman"/>
          <w:sz w:val="20"/>
          <w:szCs w:val="20"/>
          <w:lang w:val="sv-SE"/>
        </w:rPr>
        <w:instrText xml:space="preserve"> Symptoms: Back pain</w:instrText>
      </w:r>
      <w:r w:rsidR="00AE4DEC" w:rsidRPr="00B66C0E">
        <w:rPr>
          <w:rFonts w:ascii="Palatino Linotype" w:hAnsi="Palatino Linotype" w:cs="Palatino Linotype"/>
          <w:sz w:val="20"/>
          <w:szCs w:val="20"/>
          <w:lang w:val="sv-SE"/>
        </w:rPr>
        <w:instrText>�</w:instrText>
      </w:r>
      <w:r w:rsidR="00AE4DEC" w:rsidRPr="00B66C0E">
        <w:rPr>
          <w:rFonts w:ascii="Palatino Linotype" w:hAnsi="Palatino Linotype" w:cs="Times New Roman"/>
          <w:sz w:val="20"/>
          <w:szCs w:val="20"/>
          <w:lang w:val="sv-SE"/>
        </w:rPr>
        <w:instrText xml:space="preserve"> Medication: —</w:instrText>
      </w:r>
      <w:r w:rsidR="00AE4DEC" w:rsidRPr="00B66C0E">
        <w:rPr>
          <w:rFonts w:ascii="Palatino Linotype" w:hAnsi="Palatino Linotype" w:cs="Palatino Linotype"/>
          <w:sz w:val="20"/>
          <w:szCs w:val="20"/>
          <w:lang w:val="sv-SE"/>
        </w:rPr>
        <w:instrText>�</w:instrText>
      </w:r>
      <w:r w:rsidR="00AE4DEC" w:rsidRPr="00B66C0E">
        <w:rPr>
          <w:rFonts w:ascii="Palatino Linotype" w:hAnsi="Palatino Linotype" w:cs="Times New Roman"/>
          <w:sz w:val="20"/>
          <w:szCs w:val="20"/>
          <w:lang w:val="sv-SE"/>
        </w:rPr>
        <w:instrText xml:space="preserve"> Clinical Procedure: —</w:instrText>
      </w:r>
      <w:r w:rsidR="00AE4DEC" w:rsidRPr="00B66C0E">
        <w:rPr>
          <w:rFonts w:ascii="Palatino Linotype" w:hAnsi="Palatino Linotype" w:cs="Palatino Linotype"/>
          <w:sz w:val="20"/>
          <w:szCs w:val="20"/>
          <w:lang w:val="sv-SE"/>
        </w:rPr>
        <w:instrText>�</w:instrText>
      </w:r>
      <w:r w:rsidR="00AE4DEC" w:rsidRPr="00B66C0E">
        <w:rPr>
          <w:rFonts w:ascii="Palatino Linotype" w:hAnsi="Palatino Linotype" w:cs="Times New Roman"/>
          <w:sz w:val="20"/>
          <w:szCs w:val="20"/>
          <w:lang w:val="sv-SE"/>
        </w:rPr>
        <w:instrText xml:space="preserve"> Specialty: Hematology</w:instrText>
      </w:r>
      <w:r w:rsidR="00AE4DEC" w:rsidRPr="00B66C0E">
        <w:rPr>
          <w:rFonts w:ascii="Palatino Linotype" w:hAnsi="Palatino Linotype" w:cs="Palatino Linotype"/>
          <w:sz w:val="20"/>
          <w:szCs w:val="20"/>
          <w:lang w:val="sv-SE"/>
        </w:rPr>
        <w:instrText>�</w:instrText>
      </w:r>
      <w:r w:rsidR="00AE4DEC" w:rsidRPr="00B66C0E">
        <w:rPr>
          <w:rFonts w:ascii="Palatino Linotype" w:hAnsi="Palatino Linotype" w:cs="Times New Roman"/>
          <w:sz w:val="20"/>
          <w:szCs w:val="20"/>
          <w:lang w:val="sv-SE"/>
        </w:rPr>
        <w:instrText xml:space="preserve"> Objective: Rare disease Background: Evans syndrome is characterized by ‘warm’ autoimmune hemolytic anemia and autoimmune thrombocytope-nia, and is more common in the pediatric population than in adults. Evans syndrome is often associated with underlying autoimmune disease, connective tissue disease, immune deficiency disorders, lymphoproliferative disorders, or malignancy of the immune system. A case is presented of acute kidney injury due to hemoglobin cast nephropathy in an adult man with Evans syndrome. Case Report: A 60-year-old man was diagnosed with Evans syndrome, which was complicated by acute renal failure that re-quired treatment with hemodialysis. Laboratory tests and renal histology confirmed a diagnosis of hemolysis-associated hemoglobin cast nephropathy. Conclusions: The diagnosis of Evans syndrome is important as it may be associated with underlying hematological and im-munological disorders. Although rare, hemoglobin cast nephropathy due to hemolysis can be a cause of acute kidney injury in patients with Evans syndrome.","author":[{"dropping-particle":"","family":"Couri","given":"Felicia Sadie","non-dropping-particle":"","parse-names":false,"suffix":""},{"dropping-particle":"","family":"Kandula","given":"Manasa","non-dropping-particle":"","parse-names":false,"suffix":""}],"container-title":"American Journal of Case Reports","id":"ITEM-1","issued":{"date-parts":[["2020"]]},"page":"1-4","title":"A case of evans syndrome with acute hemolysis and hemoglobin cast nephropathy","type":"article-journal","volume":"21"},"uris":["http://www.mendeley.com/documents/?uuid=a258f86a-366a-47dd-a08c-5a963721a274","http://www.mendeley.com/documents/?uuid=a15cbf52-ad16-4cb5-9a6d-9430ca980053"]}],"mendeley":{"formattedCitation":"[7]","plainTextFormattedCitation":"[7]","previouslyFormattedCitation":"(7)"},"properties":{"noteIndex":0},"schema":"https://github.com/citation-style-language/schema/raw/master/csl-citation.json"}</w:instrText>
      </w:r>
      <w:r w:rsidRPr="00B66C0E">
        <w:rPr>
          <w:rFonts w:ascii="Palatino Linotype" w:hAnsi="Palatino Linotype" w:cs="Times New Roman"/>
          <w:sz w:val="20"/>
          <w:szCs w:val="20"/>
        </w:rPr>
        <w:fldChar w:fldCharType="separate"/>
      </w:r>
      <w:r w:rsidR="00AE4DEC" w:rsidRPr="00B66C0E">
        <w:rPr>
          <w:rFonts w:ascii="Palatino Linotype" w:hAnsi="Palatino Linotype" w:cs="Times New Roman"/>
          <w:sz w:val="20"/>
          <w:szCs w:val="20"/>
          <w:lang w:val="sv-SE"/>
        </w:rPr>
        <w:t>[7]</w:t>
      </w:r>
      <w:r w:rsidRPr="00B66C0E">
        <w:rPr>
          <w:rFonts w:ascii="Palatino Linotype" w:hAnsi="Palatino Linotype" w:cs="Times New Roman"/>
          <w:sz w:val="20"/>
          <w:szCs w:val="20"/>
        </w:rPr>
        <w:fldChar w:fldCharType="end"/>
      </w:r>
      <w:r w:rsidRPr="00B66C0E">
        <w:rPr>
          <w:rFonts w:ascii="Palatino Linotype" w:hAnsi="Palatino Linotype" w:cs="Times New Roman"/>
          <w:sz w:val="20"/>
          <w:szCs w:val="20"/>
          <w:lang w:val="sv-SE"/>
        </w:rPr>
        <w:t xml:space="preserve">. Insiden dan prevalensi ES saat ini masih banyak belum diketahui namun pengetahuan terkait epidemiologi ES pada orang dewasa disempurnakan oleh studi nasional di Denmark yang melaporkan 242 pasien yang dirawat selama 40 hari terakhir (1977-2018). Kelangkaan ini telah dikonfirmasi oleh insiden tahunan adalah 1,8 per juta orang/tahun dan prevalensinya adalah 21,3 per juta orang. Median kelangsungan hidup pasien dengan sindrom Evans adalah 7,2 tahun. Sindrom Evans sendiri dapat bersifat primer (atau idiopatik) atau sekunder yang terkait dengan gangguan autoimun seperti lupus eritematosus sistemik, sindrom Sjögren, sindrom antifosfolipid, dan sindrom limfoproliferatif autoimun. Pasien menderita sindrom Evans primer memiliki median kelangsungan hidup 10,9 tahun, sedangkan sindrom Evans sekunder memiliki median kelangsungan hidup hanya 1,7 tahun. Sindrom Evans sekunder dikaitkan dengan tingkat kematian yang lebih tinggi dibandingkan dengan sindrom Evans primer. </w:t>
      </w:r>
      <w:r w:rsidRPr="00B66C0E">
        <w:rPr>
          <w:rFonts w:ascii="Palatino Linotype" w:hAnsi="Palatino Linotype" w:cs="Times New Roman"/>
          <w:sz w:val="20"/>
          <w:szCs w:val="20"/>
        </w:rPr>
        <w:t xml:space="preserve">Risiko kematian akibat pendarahan, kanker hematologi, dan penyebab lain pada sindrom Evans </w:t>
      </w:r>
      <w:r w:rsidRPr="00B66C0E">
        <w:rPr>
          <w:rFonts w:ascii="Palatino Linotype" w:hAnsi="Palatino Linotype" w:cs="Times New Roman"/>
          <w:sz w:val="20"/>
          <w:szCs w:val="20"/>
        </w:rPr>
        <w:fldChar w:fldCharType="begin" w:fldLock="1"/>
      </w:r>
      <w:r w:rsidR="00AE4DEC" w:rsidRPr="00B66C0E">
        <w:rPr>
          <w:rFonts w:ascii="Palatino Linotype" w:hAnsi="Palatino Linotype" w:cs="Times New Roman"/>
          <w:sz w:val="20"/>
          <w:szCs w:val="20"/>
        </w:rPr>
        <w:instrText>ADDIN CSL_CITATION {"citationItems":[{"id":"ITEM-1","itemData":{"DOI":"10.1182/bloodadvances.2021005610","ISSN":"24739537","PMID":"34592758","abstract":"Evans syndrome (ES) is a rare condition, defined as the presence of 2 autoimmune cytopenias, most frequently autoimmune hemolytic anemia and immune thrombocytopenia (ITP) and rarely autoimmune neutropenia. ES can be classified as primary or secondary to various conditions, including lymphoproliferative disorders, other systemic autoimmune diseases, and primary immunodeficiencies, particularly in children. In adult ES, little is known about clinical features, disease associations, and outcomes. In this retrospective international study, we analyzed 116 adult patients followed at 13 European tertiary centers, focusing on treatment requirements, occurrence of complications, and death. ES was secondary to or associated with underlying conditions in 24 cases (21%), mainly other autoimmune diseases and hematologic neoplasms. Bleeding occurred in 42% of patients, mainly low grade and at ITP onset. Almost all patients received first-line treatment (steroids with or without intravenous immunoglobulin), and 23% needed early additional therapy for primary refractoriness. Additional therapy lines included rituximab, splenectomy, immunosuppressants, thrombopoietin receptor agonists, and others, with response rates .80%. However, a remarkable number of relapses occurred, requiring $3 therapy lines in 54% of cases. Infections and thrombotic complications occurred in 33% and 21% of patients, respectively, mainly grade $3, and correlated with the number of therapy lines. In addition to age, other factors negatively affecting survival were severe anemia at onset and occurrence of relapse, infection, and thrombosis. These data show that adult ES is often severe and marked by a relapsing clinical course and potentially fatal complications, pinpointing the need for high clinical awareness, prompt therapy, and anti-infectious/anti-thrombotic prophylaxis.","author":[{"dropping-particle":"","family":"Fattizzo","given":"Bruno","non-dropping-particle":"","parse-names":false,"suffix":""},{"dropping-particle":"","family":"Michel","given":"Marc","non-dropping-particle":"","parse-names":false,"suffix":""},{"dropping-particle":"","family":"Giannotta","given":"Juri Alessandro","non-dropping-particle":"","parse-names":false,"suffix":""},{"dropping-particle":"","family":"Hansen","given":"Dennis Lund","non-dropping-particle":"","parse-names":false,"suffix":""},{"dropping-particle":"","family":"Arguello","given":"Maria","non-dropping-particle":"","parse-names":false,"suffix":""},{"dropping-particle":"","family":"Sutto","given":"Emanuele","non-dropping-particle":"","parse-names":false,"suffix":""},{"dropping-particle":"","family":"Bianchetti","given":"Nicola","non-dropping-particle":"","parse-names":false,"suffix":""},{"dropping-particle":"","family":"Patriarca","given":"Andrea","non-dropping-particle":"","parse-names":false,"suffix":""},{"dropping-particle":"","family":"Cantoni","given":"Silvia","non-dropping-particle":"","parse-names":false,"suffix":""},{"dropping-particle":"","family":"Mingot-Castellano","given":"Marıa Eva","non-dropping-particle":"","parse-names":false,"suffix":""},{"dropping-particle":"","family":"McDonald","given":"Vickie","non-dropping-particle":"","parse-names":false,"suffix":""},{"dropping-particle":"","family":"Capecchi","given":"Marco","non-dropping-particle":"","parse-names":false,"suffix":""},{"dropping-particle":"","family":"Zaninoni","given":"Anna","non-dropping-particle":"","parse-names":false,"suffix":""},{"dropping-particle":"","family":"Consonni","given":"Dario","non-dropping-particle":"","parse-names":false,"suffix":""},{"dropping-particle":"","family":"Vos","given":"Josephine Mathilde","non-dropping-particle":"","parse-names":false,"suffix":""},{"dropping-particle":"","family":"Vianelli","given":"Nicola","non-dropping-particle":"","parse-names":false,"suffix":""},{"dropping-particle":"","family":"Chen","given":"Frederick","non-dropping-particle":"","parse-names":false,"suffix":""},{"dropping-particle":"","family":"Glenthøj","given":"Andreas","non-dropping-particle":"","parse-names":false,"suffix":""},{"dropping-particle":"","family":"Frederiksen","given":"Henrik","non-dropping-particle":"","parse-names":false,"suffix":""},{"dropping-particle":"","family":"Gonzalez-Lopez","given":"Tomas Jose","non-dropping-particle":"","parse-names":false,"suffix":""},{"dropping-particle":"","family":"Barcellini","given":"Wilma","non-dropping-particle":"","parse-names":false,"suffix":""}],"container-title":"Blood Advances","id":"ITEM-1","issue":"24","issued":{"date-parts":[["2021"]]},"page":"5468-5478","title":"Evans syndrome in adults: an observational multicenter study","type":"article-journal","volume":"5"},"uris":["http://www.mendeley.com/documents/?uuid=3d5cb8b8-cb7b-478e-ac69-1b3ffdea266b","http://www.mendeley.com/documents/?uuid=0e52c6fe-07f9-461e-94b4-fc23299afae4"]},{"id":"ITEM-2","itemData":{"DOI":"10.1002/ajh.25574","ISSN":"10968652","PMID":"31292991","abstract":"Patients with Evans syndrome have both immune thrombocytopenia and autoimmune hemolytic anemia, but little is known about the epidemiology of this rare syndrome. Evans syndrome can be primary or secondary. This nationwide retrospective study linked health registries to identify 242 patients with Evans syndrome in Denmark in 1977-2017. For comparison, we identified three age-matched and sex-matched cohorts of patients with only immune thrombocytopenia or only autoimmune hemolytic anemia, and a general population cohort. The Evans syndrome cohort had a mean age of 58.5 years at diagnosis, 51.2% were women, and 27.3% were classified as secondary Evans syndrome. The annual Evans syndrome incidence and prevalence rose significantly during the study period, to 1.8 per million person-years and 21.3 per million persons, respectively, in 2016. The median survival with Evans syndrome was 7.2 years (primary Evans syndrome: 10.9 years; secondary Evans syndrome: 1.7 years). Secondary Evans syndrome was associated with higher mortality rates than any of the other cohorts, with a 5-year survival of 38%. Among patients with Evans syndrome, the prevailing causes of death were bleeding, infections, and hematological cancer. In conclusion, we found that both primary and secondary Evans syndrome conferred a poor prognosis. Lethal complications probably derive primarily from manifestations of underlying autoimmune hemolytic anemia and immune thrombocytopenia. Our findings suggested that suspicion of Evans syndrome should prompt vigilant clinical follow-up. International collaborations are warranted to advance our knowledge of optimal management of this rare disease.","author":[{"dropping-particle":"","family":"Hansen","given":"Dennis Lund","non-dropping-particle":"","parse-names":false,"suffix":""},{"dropping-particle":"","family":"Möller","given":"Sören","non-dropping-particle":"","parse-names":false,"suffix":""},{"dropping-particle":"","family":"Andersen","given":"Kjeld","non-dropping-particle":"","parse-names":false,"suffix":""},{"dropping-particle":"","family":"Gaist","given":"David","non-dropping-particle":"","parse-names":false,"suffix":""},{"dropping-particle":"","family":"Frederiksen","given":"Henrik","non-dropping-particle":"","parse-names":false,"suffix":""}],"container-title":"American Journal of Hematology","id":"ITEM-2","issue":"10","issued":{"date-parts":[["2019"]]},"page":"1081-1090","title":"Evans syndrome in adults - incidence, prevalence, and survival in a nationwide cohort","type":"article-journal","volume":"94"},"uris":["http://www.mendeley.com/documents/?uuid=52d59cfe-cd60-4938-a982-50ee97abb4f3","http://www.mendeley.com/documents/?uuid=be4a021b-ffdb-4668-8ddd-deb46341d74e"]}],"mendeley":{"formattedCitation":"[8,9]","plainTextFormattedCitation":"[8,9]","previouslyFormattedCitation":"(8,9)"},"properties":{"noteIndex":0},"schema":"https://github.com/citation-style-language/schema/raw/master/csl-citation.json"}</w:instrText>
      </w:r>
      <w:r w:rsidRPr="00B66C0E">
        <w:rPr>
          <w:rFonts w:ascii="Palatino Linotype" w:hAnsi="Palatino Linotype" w:cs="Times New Roman"/>
          <w:sz w:val="20"/>
          <w:szCs w:val="20"/>
        </w:rPr>
        <w:fldChar w:fldCharType="separate"/>
      </w:r>
      <w:r w:rsidR="00AE4DEC" w:rsidRPr="00B66C0E">
        <w:rPr>
          <w:rFonts w:ascii="Palatino Linotype" w:hAnsi="Palatino Linotype" w:cs="Times New Roman"/>
          <w:sz w:val="20"/>
          <w:szCs w:val="20"/>
        </w:rPr>
        <w:t>[8,9]</w:t>
      </w:r>
      <w:r w:rsidRPr="00B66C0E">
        <w:rPr>
          <w:rFonts w:ascii="Palatino Linotype" w:hAnsi="Palatino Linotype" w:cs="Times New Roman"/>
          <w:sz w:val="20"/>
          <w:szCs w:val="20"/>
        </w:rPr>
        <w:fldChar w:fldCharType="end"/>
      </w:r>
      <w:r w:rsidRPr="00B66C0E">
        <w:rPr>
          <w:rFonts w:ascii="Palatino Linotype" w:hAnsi="Palatino Linotype" w:cs="Times New Roman"/>
          <w:sz w:val="20"/>
          <w:szCs w:val="20"/>
        </w:rPr>
        <w:t xml:space="preserve">. Studi kolaboratif internasional yang dilakukan secara retrospektif menganalisis 116 pasien di Eropa menyoroti bahwa ES pada orang dewasa sering kali parah dan ditandai dengan eksaserbasi berulang. ES diklasifikasikan sebagai primer (79% kasus) atau sekunder (21% kasus) terhadap kondisi yang mendasari seperti penyakit autoimun dan neoplasma hematologi. </w:t>
      </w:r>
      <w:r w:rsidRPr="00B66C0E">
        <w:rPr>
          <w:rFonts w:ascii="Palatino Linotype" w:hAnsi="Palatino Linotype" w:cs="Times New Roman"/>
          <w:sz w:val="20"/>
          <w:szCs w:val="20"/>
          <w:lang w:val="sv-SE"/>
        </w:rPr>
        <w:t xml:space="preserve">Faktor yang mempengaruhi adalah anemia berat saat onset, kekambuhan, infeksi, dan trombosis </w:t>
      </w:r>
      <w:r w:rsidRPr="00B66C0E">
        <w:rPr>
          <w:rFonts w:ascii="Palatino Linotype" w:hAnsi="Palatino Linotype" w:cs="Times New Roman"/>
          <w:sz w:val="20"/>
          <w:szCs w:val="20"/>
        </w:rPr>
        <w:fldChar w:fldCharType="begin" w:fldLock="1"/>
      </w:r>
      <w:r w:rsidR="00AE4DEC" w:rsidRPr="00B66C0E">
        <w:rPr>
          <w:rFonts w:ascii="Palatino Linotype" w:hAnsi="Palatino Linotype" w:cs="Times New Roman"/>
          <w:sz w:val="20"/>
          <w:szCs w:val="20"/>
          <w:lang w:val="sv-SE"/>
        </w:rPr>
        <w:instrText>ADDIN CSL_CITATION {"citationItems":[{"id":"ITEM-1","itemData":{"DOI":"10.1182/bloodadvances.2021005610","ISSN":"24739537","PMID":"34592758","abstract":"Evans syndrome (ES) is a rare condition, defined as the presence of 2 autoimmune cytopenias, most frequently autoimmune hemolytic anemia and immune thrombocytopenia (ITP) and rarely autoimmune neutropenia. ES can be classified as primary or secondary to various conditions, including lymphoproliferative disorders, other systemic autoimmune diseases, and primary immunodeficiencies, particularly in children. In adult ES, little is known about clinical features, disease associations, and outcomes. In this retrospective international study, we analyzed 116 adult patients followed at 13 European tertiary centers, focusing on treatment requirements, occurrence of complications, and death. ES was secondary to or associated with underlying conditions in 24 cases (21%), mainly other autoimmune diseases and hematologic neoplasms. Bleeding occurred in 42% of patients, mainly low grade and at ITP onset. Almost all patients received first-line treatment (steroids with or without intravenous immunoglobulin), and 23% needed early additional therapy for primary refractoriness. Additional therapy lines included rituximab, splenectomy, immunosuppressants, thrombopoietin receptor agonists, and others, with response rates .80%. However, a remarkable number of relapses occurred, requiring $3 therapy lines in 54% of cases. Infections and thrombotic complications occurred in 33% and 21% of patients, respectively, mainly grade $3, and correlated with the number of therapy lines. In addition to age, other factors negatively affecting survival were severe anemia at onset and occurrence of relapse, infection, and thrombosis. These data show that adult ES is often severe and marked by a relapsing clinical course and potentially fatal complications, pinpointing the need for high clinical awareness, prompt therapy, and anti-infectious/anti-thrombotic prophylaxis.","author":[{"dropping-particle":"","family":"Fattizzo","given":"Bruno","non-dropping-particle":"","parse-names":false,"suffix":""},{"dropping-particle":"","family":"Michel","given":"Marc","non-dropping-particle":"","parse-names":false,"suffix":""},{"dropping-particle":"","family":"Giannotta","given":"Juri Alessandro","non-dropping-particle":"","parse-names":false,"suffix":""},{"dropping-particle":"","family":"Hansen","given":"Dennis Lund","non-dropping-particle":"","parse-names":false,"suffix":""},{"dropping-particle":"","family":"Arguello","given":"Maria","non-dropping-particle":"","parse-names":false,"suffix":""},{"dropping-particle":"","family":"Sutto","given":"Emanuele","non-dropping-particle":"","parse-names":false,"suffix":""},{"dropping-particle":"","family":"Bianchetti","given":"Nicola","non-dropping-particle":"","parse-names":false,"suffix":""},{"dropping-particle":"","family":"Patriarca","given":"Andrea","non-dropping-particle":"","parse-names":false,"suffix":""},{"dropping-particle":"","family":"Cantoni","given":"Silvia","non-dropping-particle":"","parse-names":false,"suffix":""},{"dropping-particle":"","family":"Mingot-Castellano","given":"Marıa Eva","non-dropping-particle":"","parse-names":false,"suffix":""},{"dropping-particle":"","family":"McDonald","given":"Vickie","non-dropping-particle":"","parse-names":false,"suffix":""},{"dropping-particle":"","family":"Capecchi","given":"Marco","non-dropping-particle":"","parse-names":false,"suffix":""},{"dropping-particle":"","family":"Zaninoni","given":"Anna","non-dropping-particle":"","parse-names":false,"suffix":""},{"dropping-particle":"","family":"Consonni","given":"Dario","non-dropping-particle":"","parse-names":false,"suffix":""},{"dropping-particle":"","family":"Vos","given":"Josephine Mathilde","non-dropping-particle":"","parse-names":false,"suffix":""},{"dropping-particle":"","family":"Vianelli","given":"Nicola","non-dropping-particle":"","parse-names":false,"suffix":""},{"dropping-particle":"","family":"Chen","given":"Frederick","non-dropping-particle":"","parse-names":false,"suffix":""},{"dropping-particle":"","family":"Glenthøj","given":"Andreas","non-dropping-particle":"","parse-names":false,"suffix":""},{"dropping-particle":"","family":"Frederiksen","given":"Henrik","non-dropping-particle":"","parse-names":false,"suffix":""},{"dropping-particle":"","family":"Gonzalez-Lopez","given":"Tomas Jose","non-dropping-particle":"","parse-names":false,"suffix":""},{"dropping-particle":"","family":"Barcellini","given":"Wilma","non-dropping-particle":"","parse-names":false,"suffix":""}],"container-title":"Blood Advances","id":"ITEM-1","issue":"24","issued":{"date-parts":[["2021"]]},"page":"5468-5478","title":"Evans syndrome in adults: an observational multicenter study","type":"article-journal","volume":"5"},"uris":["http://www.mendeley.com/documents/?uuid=0e52c6fe-07f9-461e-94b4-fc23299afae4","http://www.mendeley.com/documents/?uuid=3d5cb8b8-cb7b-478e-ac69-1b3ffdea266b"]}],"mendeley":{"formattedCitation":"[8]","plainTextFormattedCitation":"[8]","previouslyFormattedCitation":"(8)"},"properties":{"noteIndex":0},"schema":"https://github.com/citation-style-language/schema/raw/master/csl-citation.json"}</w:instrText>
      </w:r>
      <w:r w:rsidRPr="00B66C0E">
        <w:rPr>
          <w:rFonts w:ascii="Palatino Linotype" w:hAnsi="Palatino Linotype" w:cs="Times New Roman"/>
          <w:sz w:val="20"/>
          <w:szCs w:val="20"/>
        </w:rPr>
        <w:fldChar w:fldCharType="separate"/>
      </w:r>
      <w:r w:rsidR="00AE4DEC" w:rsidRPr="00B66C0E">
        <w:rPr>
          <w:rFonts w:ascii="Palatino Linotype" w:hAnsi="Palatino Linotype" w:cs="Times New Roman"/>
          <w:sz w:val="20"/>
          <w:szCs w:val="20"/>
          <w:lang w:val="sv-SE"/>
        </w:rPr>
        <w:t>[8]</w:t>
      </w:r>
      <w:r w:rsidRPr="00B66C0E">
        <w:rPr>
          <w:rFonts w:ascii="Palatino Linotype" w:hAnsi="Palatino Linotype" w:cs="Times New Roman"/>
          <w:sz w:val="20"/>
          <w:szCs w:val="20"/>
        </w:rPr>
        <w:fldChar w:fldCharType="end"/>
      </w:r>
      <w:r w:rsidRPr="00B66C0E">
        <w:rPr>
          <w:rFonts w:ascii="Palatino Linotype" w:hAnsi="Palatino Linotype" w:cs="Times New Roman"/>
          <w:sz w:val="20"/>
          <w:szCs w:val="20"/>
          <w:lang w:val="sv-SE"/>
        </w:rPr>
        <w:t xml:space="preserve">. </w:t>
      </w:r>
    </w:p>
    <w:p w14:paraId="7F3E6D06" w14:textId="09422536" w:rsidR="008D0640" w:rsidRPr="00B66C0E" w:rsidRDefault="008D0640" w:rsidP="00B66C0E">
      <w:pPr>
        <w:spacing w:after="0" w:line="240" w:lineRule="auto"/>
        <w:ind w:firstLine="720"/>
        <w:jc w:val="both"/>
        <w:rPr>
          <w:rFonts w:ascii="Palatino Linotype" w:hAnsi="Palatino Linotype" w:cs="Times New Roman"/>
          <w:sz w:val="20"/>
          <w:szCs w:val="20"/>
          <w:lang w:val="sv-SE"/>
        </w:rPr>
      </w:pPr>
      <w:r w:rsidRPr="00B66C0E">
        <w:rPr>
          <w:rFonts w:ascii="Palatino Linotype" w:hAnsi="Palatino Linotype" w:cs="Times New Roman"/>
          <w:sz w:val="20"/>
          <w:szCs w:val="20"/>
          <w:lang w:val="sv-SE"/>
        </w:rPr>
        <w:t xml:space="preserve">Diagnosa sindrom Evans menantang sebab gejalanya bervariasi dan sering menyerupai kondisi hematologis lainnya. Oleh sebab itu dibutuhkan pendekatan diagnostik yang komprehensif untuk memastikan diagnosa yang akurat sebab pengobatan sindrom Evans ditujukan pada gejala spesifik yang terlihat pada setiap individu. Secara khusus, diagnosis sindrom Evans dapat dibuat ketika anemia hemolitik </w:t>
      </w:r>
      <w:r w:rsidRPr="00B66C0E">
        <w:rPr>
          <w:rFonts w:ascii="Palatino Linotype" w:hAnsi="Palatino Linotype" w:cs="Times New Roman"/>
          <w:sz w:val="20"/>
          <w:szCs w:val="20"/>
          <w:lang w:val="sv-SE"/>
        </w:rPr>
        <w:lastRenderedPageBreak/>
        <w:t xml:space="preserve">autoimun (dengan tes </w:t>
      </w:r>
      <w:r w:rsidRPr="00B66C0E">
        <w:rPr>
          <w:rFonts w:ascii="Palatino Linotype" w:hAnsi="Palatino Linotype" w:cs="Times New Roman"/>
          <w:i/>
          <w:iCs/>
          <w:sz w:val="20"/>
          <w:szCs w:val="20"/>
          <w:lang w:val="sv-SE"/>
        </w:rPr>
        <w:t>Coombs</w:t>
      </w:r>
      <w:r w:rsidRPr="00B66C0E">
        <w:rPr>
          <w:rFonts w:ascii="Palatino Linotype" w:hAnsi="Palatino Linotype" w:cs="Times New Roman"/>
          <w:sz w:val="20"/>
          <w:szCs w:val="20"/>
          <w:lang w:val="sv-SE"/>
        </w:rPr>
        <w:t xml:space="preserve"> langsung positif) dan trombositopenia (ITP) terjadi pada pasien yang sama, meskipun keduanya tidak terjadi bersamaan. Gangguan lain seperti lupus eritematosus sistemik (SLE), </w:t>
      </w:r>
      <w:r w:rsidRPr="00B66C0E">
        <w:rPr>
          <w:rFonts w:ascii="Palatino Linotype" w:hAnsi="Palatino Linotype" w:cs="Times New Roman"/>
          <w:i/>
          <w:iCs/>
          <w:sz w:val="20"/>
          <w:szCs w:val="20"/>
          <w:lang w:val="sv-SE"/>
        </w:rPr>
        <w:t>common variable immunodeficiency</w:t>
      </w:r>
      <w:r w:rsidRPr="00B66C0E">
        <w:rPr>
          <w:rFonts w:ascii="Palatino Linotype" w:hAnsi="Palatino Linotype" w:cs="Times New Roman"/>
          <w:sz w:val="20"/>
          <w:szCs w:val="20"/>
          <w:lang w:val="sv-SE"/>
        </w:rPr>
        <w:t xml:space="preserve"> (CVID), defisiensi IgA, sindrom imunodefisiensi didapat (AIDS), dan sindrom limfoproliferatif autoimun (ALPS) harus dieksklusi </w:t>
      </w:r>
      <w:r w:rsidRPr="00B66C0E">
        <w:rPr>
          <w:rFonts w:ascii="Palatino Linotype" w:hAnsi="Palatino Linotype" w:cs="Times New Roman"/>
          <w:sz w:val="20"/>
          <w:szCs w:val="20"/>
        </w:rPr>
        <w:fldChar w:fldCharType="begin" w:fldLock="1"/>
      </w:r>
      <w:r w:rsidR="00AE4DEC" w:rsidRPr="00B66C0E">
        <w:rPr>
          <w:rFonts w:ascii="Palatino Linotype" w:hAnsi="Palatino Linotype" w:cs="Times New Roman"/>
          <w:sz w:val="20"/>
          <w:szCs w:val="20"/>
          <w:lang w:val="sv-SE"/>
        </w:rPr>
        <w:instrText>ADDIN CSL_CITATION {"citationItems":[{"id":"ITEM-1","itemData":{"DOI":"10.37275/bsm.v7i4.805","abstract":"Background: Evans syndrome (ES) is an autoimmune disease characterized by the presence of autoimmune hemolytic anemia (AIHA) and idiopathic thrombocytopenic purpura (ITP), together with unknown causes. ES disease is the least common, diagnosed in only 0.8% - 3.7% of all patients with AIHA or ITP. This study aimed to describe Evans syndrome in a 44-year-old male patient.\r Case presentation: A 44-year-old male patient was reported with complaints of weakness and fatigue, red spots, a history of bleeding gums, a history of bleeding from the nose, and a history of red urination. A routine blood examination revealed mild anemia, reticulocytosis, and thrombocytopenia, and the peripheral blood showed polychromatic erythrocytes. Other laboratory examinations revealed an increase in LDH. The results of a positive Comb’s test and antibody screening examination showed the impression of warm-type AIHA. The diagnosis of Evans syndrome in this patient was confirmed by the presence of AIHA and ITP, which co-occur and are primarily due to unknown causes.\r Conclusion: ES is a rare disorder and a diagnosis of exclusion. The diagnosis of ES was established by the presence of signs and symptoms of AIHA and ITP accompanied by a positive direct antiglobulin test with no other etiology found.","author":[{"dropping-particle":"","family":"Afriant","given":"Rudy","non-dropping-particle":"","parse-names":false,"suffix":""},{"dropping-particle":"","family":"Fikri","given":"Avino Mulana","non-dropping-particle":"","parse-names":false,"suffix":""},{"dropping-particle":"","family":"Kam","given":"Alexander","non-dropping-particle":"","parse-names":false,"suffix":""}],"container-title":"Bioscientia Medicina : Journal of Biomedicine and Translational Research","id":"ITEM-1","issue":"4","issued":{"date-parts":[["2023"]]},"page":"3226-3229","title":"Evans Syndrome in a Forty-Four Years Old Male Patient: A Case Report","type":"article-journal","volume":"7"},"uris":["http://www.mendeley.com/documents/?uuid=fa7763f1-bccf-4712-bd17-014d6dd375b6","http://www.mendeley.com/documents/?uuid=8505ed27-45ff-413a-b463-8c75b83d159b"]},{"id":"ITEM-2","itemData":{"DOI":"10.31579/2690-8794/207","author":[{"dropping-particle":"","family":"Asadi","given":"Shahin","non-dropping-particle":"","parse-names":false,"suffix":""},{"dropping-particle":"","family":"Gholizadeh","given":"Zahra","non-dropping-particle":"","parse-names":false,"suffix":""},{"dropping-particle":"","family":"Amirabadi","given":"Hamid","non-dropping-particle":"","parse-names":false,"suffix":""}],"id":"ITEM-2","issue":"April","issued":{"date-parts":[["2024"]]},"title":"A Comprehensive Review of the Pathological Mechanism of Evans Syndrome A Comprehensive Review of the Pathological Mechanism of Evans Syndrome","type":"article-journal"},"uris":["http://www.mendeley.com/documents/?uuid=cb39c610-e915-4998-bff2-37f318a787dd","http://www.mendeley.com/documents/?uuid=22922db0-24fe-4a43-8ed4-2f0d8ccacba4"]}],"mendeley":{"formattedCitation":"[4,10]","plainTextFormattedCitation":"[4,10]","previouslyFormattedCitation":"(4,10)"},"properties":{"noteIndex":0},"schema":"https://github.com/citation-style-language/schema/raw/master/csl-citation.json"}</w:instrText>
      </w:r>
      <w:r w:rsidRPr="00B66C0E">
        <w:rPr>
          <w:rFonts w:ascii="Palatino Linotype" w:hAnsi="Palatino Linotype" w:cs="Times New Roman"/>
          <w:sz w:val="20"/>
          <w:szCs w:val="20"/>
        </w:rPr>
        <w:fldChar w:fldCharType="separate"/>
      </w:r>
      <w:r w:rsidR="00AE4DEC" w:rsidRPr="00B66C0E">
        <w:rPr>
          <w:rFonts w:ascii="Palatino Linotype" w:hAnsi="Palatino Linotype" w:cs="Times New Roman"/>
          <w:sz w:val="20"/>
          <w:szCs w:val="20"/>
          <w:lang w:val="sv-SE"/>
        </w:rPr>
        <w:t>[4,10]</w:t>
      </w:r>
      <w:r w:rsidRPr="00B66C0E">
        <w:rPr>
          <w:rFonts w:ascii="Palatino Linotype" w:hAnsi="Palatino Linotype" w:cs="Times New Roman"/>
          <w:sz w:val="20"/>
          <w:szCs w:val="20"/>
        </w:rPr>
        <w:fldChar w:fldCharType="end"/>
      </w:r>
      <w:r w:rsidRPr="00B66C0E">
        <w:rPr>
          <w:rFonts w:ascii="Palatino Linotype" w:hAnsi="Palatino Linotype" w:cs="Times New Roman"/>
          <w:sz w:val="20"/>
          <w:szCs w:val="20"/>
          <w:lang w:val="sv-SE"/>
        </w:rPr>
        <w:t xml:space="preserve">. </w:t>
      </w:r>
    </w:p>
    <w:p w14:paraId="18E97ABD" w14:textId="3EFE2100" w:rsidR="008D0640" w:rsidRPr="00B66C0E" w:rsidRDefault="008D0640" w:rsidP="00B66C0E">
      <w:pPr>
        <w:spacing w:after="0" w:line="240" w:lineRule="auto"/>
        <w:ind w:firstLine="720"/>
        <w:jc w:val="both"/>
        <w:rPr>
          <w:rFonts w:ascii="Palatino Linotype" w:hAnsi="Palatino Linotype" w:cs="Times New Roman"/>
          <w:sz w:val="20"/>
          <w:szCs w:val="20"/>
          <w:lang w:val="sv-SE"/>
        </w:rPr>
      </w:pPr>
      <w:r w:rsidRPr="00B66C0E">
        <w:rPr>
          <w:rFonts w:ascii="Palatino Linotype" w:hAnsi="Palatino Linotype" w:cs="Times New Roman"/>
          <w:sz w:val="20"/>
          <w:szCs w:val="20"/>
          <w:lang w:val="sv-SE"/>
        </w:rPr>
        <w:t xml:space="preserve">Sindrom Evans lebih sulit untuk diobat, cenderung kronis dan kambuh. Tata laksana terapi saat ini belum memiliki protokol standar yang diterima secara luas. Manajemen terapi sindrom evans saat ini terdiri dari modalitas terapi yang biasanya bersifat individual, disesuaikan dengan manifestasi klinis dan respon pasien terhadap pengobatan. Pengobatan sebagian besar diambil dari pengobatan yang umum digunakan untuk ITP terisolasi dan AIHA terisolasi. Beberapa pasien mungkin tidak memerlukan terapi sebab sifat sitopenia ringan. Namun, pengelolaan klinis dan pengobatan pada bentuk sedang dan berat memang belum ada bukti terkini yang ditetapkan. Tujuan utama penatalaksanaan ES adalah mencapai respon jangka panjang yang lengkap. Pengobatan lini pertama adalah steroid terutama dalam kasus apabila AIHA secara klinis dominan. Steroid tersebut dengan atau tanpa IVIG (Intravena Immunoglobulin) dapat ditambahkan. IVIG lebih disukai dalam kasus trombositopenia yang jelas atau ITP dominan, ketika steroid tidak efektif atau dosis yang sangat tinggi diperlukan untuk mempertahankan remisi, atau jika terjadi toksisitas. Terapi lini kedua digunakan pasien ketika mengalami kegagalan pengobatan terhadap rejimen lini pertama (setelah tiga minggu), atau mengalami kekambuhan, ketergantungan steroid, atau penyakit kronis. Terapi lini kedua yang baru saat ini adalah antibodi monoklonal (rituximab), agen imunosupresif (siklosporin dan mikofenolat mofetil), agonis reseptor trombopoetin (TPO-RA), azatioprin, dan bortezomib. Pada beberapa kasus yang berat, splenektomi atau terapi biologis yang menargetkan sel B dan T dipertimbangkan.  Terapi pilihan ketiga diberikan pada pasien yang berjuang melawan penyakit yang parah dan berulang mesikpun teah menjalani intervensi lini kedua. Pilihan terapi ketiga adalah siklofosfamid, alemtuzumab, atau transplantasi sel punca </w:t>
      </w:r>
      <w:r w:rsidRPr="00B66C0E">
        <w:rPr>
          <w:rFonts w:ascii="Palatino Linotype" w:hAnsi="Palatino Linotype" w:cs="Times New Roman"/>
          <w:sz w:val="20"/>
          <w:szCs w:val="20"/>
        </w:rPr>
        <w:fldChar w:fldCharType="begin" w:fldLock="1"/>
      </w:r>
      <w:r w:rsidR="00AE4DEC" w:rsidRPr="00B66C0E">
        <w:rPr>
          <w:rFonts w:ascii="Palatino Linotype" w:hAnsi="Palatino Linotype" w:cs="Times New Roman"/>
          <w:sz w:val="20"/>
          <w:szCs w:val="20"/>
          <w:lang w:val="sv-SE"/>
        </w:rPr>
        <w:instrText>ADDIN CSL_CITATION {"citationItems":[{"id":"ITEM-1","itemData":{"DOI":"10.1016/j.htct.2022.01.011","ISSN":"25311387","abstract":"Introduction: The Evans syndrome (ES) is a rare, often chronic, relapsing and treatment-refractory hematological disorder. We described the clinical features, diagnostic workup, treatment and outcome in patients with ES. Method: We performed a retrospective chart review of patients aged &lt; 18 years with ES admitted to a tertiary center in Brazil from 2001 to 2021. The analysis of the data was primarily descriptive, using median, interquartile range and categorical variables presented in absolute frequencies. Main results: Twenty patients (12 female, 8 male) were evaluated in this study. The median age at the initial cytopenia was 4.98 years (1.30–12.57). The ES was secondary in nine cases (45%), of which six patients (30%) showed autoimmune disease (AID) or primary immunodeficiencies (PID) and one presented a spontaneous recovery. Steroids and intravenous immunoglobulin were first-line therapy in 19 cases. Twelve patients (63%) required second-line treatments (rituximab, cyclosporine, splenectomy, sirolimus, cyclophosphamide, mycophenolate mofetil, azathioprine and eltrombopag). The median follow-up period was 2.41 years (1.4 –7.52). One patient (5%) died of underlying neuroblastoma, one case (5%) was lost to follow-up and four patients (20%) received a medical discharge. The median age for the 14 remaining cases was 12.6 years. Twelve patients (85.7%) were in complete response (CR) with no therapies. Two patients (14.3%) were in CR with chronic therapy. Conclusion: As ES may be a symptom of AID and PID, a thorough rheumatological, immunologic and genetic workup and a careful follow-up are essential. The second-line treatment remains a dilemma. Further prospective studies are needed to address the optimal therapeutic combinations, morbidity and mortality in this disorder.","author":[{"dropping-particle":"","family":"Blanco","given":"Bruna Paccola","non-dropping-particle":"","parse-names":false,"suffix":""},{"dropping-particle":"","family":"Garanito","given":"Marlene Pereira","non-dropping-particle":"","parse-names":false,"suffix":""}],"container-title":"Hematology, Transfusion and Cell Therapy","id":"ITEM-1","issue":"2","issued":{"date-parts":[["2023"]]},"page":"196-203","publisher":"Elsevier Espana, S.L.","title":"Pediatric Evans Syndrome: A 20-year experience from a tertiary center in Brazil","type":"article-journal","volume":"45"},"uris":["http://www.mendeley.com/documents/?uuid=d6c9907b-498e-41af-a7b2-ce97c823fb95","http://www.mendeley.com/documents/?uuid=6f7d2307-621a-4e68-938d-5fd78ca321b0"]},{"id":"ITEM-2","itemData":{"DOI":"10.31579/2690-8794/207","author":[{"dropping-particle":"","family":"Asadi","given":"Shahin","non-dropping-particle":"","parse-names":false,"suffix":""},{"dropping-particle":"","family":"Gholizadeh","given":"Zahra","non-dropping-particle":"","parse-names":false,"suffix":""},{"dropping-particle":"","family":"Amirabadi","given":"Hamid","non-dropping-particle":"","parse-names":false,"suffix":""}],"id":"ITEM-2","issue":"April","issued":{"date-parts":[["2024"]]},"title":"A Comprehensive Review of the Pathological Mechanism of Evans Syndrome A Comprehensive Review of the Pathological Mechanism of Evans Syndrome","type":"article-journal"},"uris":["http://www.mendeley.com/documents/?uuid=cb39c610-e915-4998-bff2-37f318a787dd","http://www.mendeley.com/documents/?uuid=22922db0-24fe-4a43-8ed4-2f0d8ccacba4"]}],"mendeley":{"formattedCitation":"[4,11]","plainTextFormattedCitation":"[4,11]","previouslyFormattedCitation":"(4,11)"},"properties":{"noteIndex":0},"schema":"https://github.com/citation-style-language/schema/raw/master/csl-citation.json"}</w:instrText>
      </w:r>
      <w:r w:rsidRPr="00B66C0E">
        <w:rPr>
          <w:rFonts w:ascii="Palatino Linotype" w:hAnsi="Palatino Linotype" w:cs="Times New Roman"/>
          <w:sz w:val="20"/>
          <w:szCs w:val="20"/>
        </w:rPr>
        <w:fldChar w:fldCharType="separate"/>
      </w:r>
      <w:r w:rsidR="00AE4DEC" w:rsidRPr="00B66C0E">
        <w:rPr>
          <w:rFonts w:ascii="Palatino Linotype" w:hAnsi="Palatino Linotype" w:cs="Times New Roman"/>
          <w:sz w:val="20"/>
          <w:szCs w:val="20"/>
          <w:lang w:val="sv-SE"/>
        </w:rPr>
        <w:t>[4,11]</w:t>
      </w:r>
      <w:r w:rsidRPr="00B66C0E">
        <w:rPr>
          <w:rFonts w:ascii="Palatino Linotype" w:hAnsi="Palatino Linotype" w:cs="Times New Roman"/>
          <w:sz w:val="20"/>
          <w:szCs w:val="20"/>
        </w:rPr>
        <w:fldChar w:fldCharType="end"/>
      </w:r>
      <w:r w:rsidRPr="00B66C0E">
        <w:rPr>
          <w:rFonts w:ascii="Palatino Linotype" w:hAnsi="Palatino Linotype" w:cs="Times New Roman"/>
          <w:sz w:val="20"/>
          <w:szCs w:val="20"/>
          <w:lang w:val="sv-SE"/>
        </w:rPr>
        <w:t>.</w:t>
      </w:r>
    </w:p>
    <w:p w14:paraId="3B5C37CE" w14:textId="331FEB0B" w:rsidR="0083570B" w:rsidRPr="00B66C0E" w:rsidRDefault="008D0640" w:rsidP="00B66C0E">
      <w:pPr>
        <w:spacing w:after="0" w:line="240" w:lineRule="auto"/>
        <w:ind w:firstLine="720"/>
        <w:jc w:val="both"/>
        <w:rPr>
          <w:rFonts w:ascii="Palatino Linotype" w:hAnsi="Palatino Linotype" w:cs="Times New Roman"/>
          <w:sz w:val="20"/>
          <w:szCs w:val="20"/>
          <w:lang w:val="sv-SE"/>
        </w:rPr>
      </w:pPr>
      <w:r w:rsidRPr="00B66C0E">
        <w:rPr>
          <w:rFonts w:ascii="Palatino Linotype" w:hAnsi="Palatino Linotype" w:cs="Times New Roman"/>
          <w:sz w:val="20"/>
          <w:szCs w:val="20"/>
          <w:lang w:val="sv-SE"/>
        </w:rPr>
        <w:t xml:space="preserve">Mengingat kompleksitas dan tanganan dalam penanganan sindrom Evans, kajian literatur ini bertujuan memberikan tinjauan komprehensif mengenai tata laksana terapi yang tersedia, dengan menyoroti pendekatan diagnostik, pilihan terapi, serta perkembangan. Sebagai catatan, disebabkan kelangkaan penyakit ini, hampir tidak terdapat uji klinis yang membandingkan modalitas pengobatan dan sebagian besar rekomendasi diekstrapolasi dari ITP terisolasi atau AIHA terisolasi. Oleh sebab itu, diharapkan, kajian ini dapat menjadi referensi bagi praktisi medis dalam mengelola pasien dengan sindrom Evans secara lebih efektif dan berbasis bukti pembaruan. pada ITP primer atau AIHA atau keduanya. </w:t>
      </w:r>
    </w:p>
    <w:p w14:paraId="2F155EDE" w14:textId="61E54443" w:rsidR="008D0640" w:rsidRPr="00475A35" w:rsidRDefault="008D0640" w:rsidP="008D0640">
      <w:pPr>
        <w:pStyle w:val="MDPI31text"/>
        <w:spacing w:before="240" w:line="240" w:lineRule="auto"/>
        <w:ind w:firstLine="0"/>
        <w:rPr>
          <w:b/>
          <w:szCs w:val="20"/>
          <w:lang w:val="sv-SE"/>
        </w:rPr>
      </w:pPr>
      <w:r w:rsidRPr="00475A35">
        <w:rPr>
          <w:b/>
          <w:szCs w:val="20"/>
          <w:lang w:val="sv-SE"/>
        </w:rPr>
        <w:t>METODE PENELITIAN</w:t>
      </w:r>
    </w:p>
    <w:p w14:paraId="349EDF1A" w14:textId="47570CF8" w:rsidR="008D0640" w:rsidRPr="000E3166" w:rsidRDefault="008D0640" w:rsidP="008D0640">
      <w:pPr>
        <w:spacing w:before="240" w:line="240" w:lineRule="auto"/>
        <w:ind w:firstLine="720"/>
        <w:jc w:val="both"/>
        <w:rPr>
          <w:rFonts w:ascii="Palatino Linotype" w:hAnsi="Palatino Linotype" w:cs="Times New Roman"/>
          <w:sz w:val="20"/>
          <w:szCs w:val="20"/>
          <w:lang w:val="sv-SE"/>
        </w:rPr>
      </w:pPr>
      <w:r w:rsidRPr="00475A35">
        <w:rPr>
          <w:rFonts w:ascii="Palatino Linotype" w:hAnsi="Palatino Linotype" w:cs="Times New Roman"/>
          <w:sz w:val="20"/>
          <w:szCs w:val="20"/>
          <w:lang w:val="sv-SE"/>
        </w:rPr>
        <w:t xml:space="preserve">Artikel ini ditulis menggunakan metode kajian </w:t>
      </w:r>
      <w:r w:rsidR="001B7A6A" w:rsidRPr="00475A35">
        <w:rPr>
          <w:rFonts w:ascii="Palatino Linotype" w:hAnsi="Palatino Linotype" w:cs="Times New Roman"/>
          <w:sz w:val="20"/>
          <w:szCs w:val="20"/>
          <w:lang w:val="sv-SE"/>
        </w:rPr>
        <w:t>naratif</w:t>
      </w:r>
      <w:r w:rsidRPr="00475A35">
        <w:rPr>
          <w:rFonts w:ascii="Palatino Linotype" w:hAnsi="Palatino Linotype" w:cs="Times New Roman"/>
          <w:sz w:val="20"/>
          <w:szCs w:val="20"/>
          <w:lang w:val="sv-SE"/>
        </w:rPr>
        <w:t xml:space="preserve"> (</w:t>
      </w:r>
      <w:r w:rsidR="001B7A6A" w:rsidRPr="00475A35">
        <w:rPr>
          <w:rFonts w:ascii="Palatino Linotype" w:hAnsi="Palatino Linotype" w:cs="Times New Roman"/>
          <w:i/>
          <w:iCs/>
          <w:sz w:val="20"/>
          <w:szCs w:val="20"/>
          <w:lang w:val="sv-SE"/>
        </w:rPr>
        <w:t>narrative</w:t>
      </w:r>
      <w:r w:rsidRPr="00475A35">
        <w:rPr>
          <w:rFonts w:ascii="Palatino Linotype" w:hAnsi="Palatino Linotype" w:cs="Times New Roman"/>
          <w:i/>
          <w:iCs/>
          <w:sz w:val="20"/>
          <w:szCs w:val="20"/>
          <w:lang w:val="sv-SE"/>
        </w:rPr>
        <w:t xml:space="preserve"> review</w:t>
      </w:r>
      <w:r w:rsidRPr="00475A35">
        <w:rPr>
          <w:rFonts w:ascii="Palatino Linotype" w:hAnsi="Palatino Linotype" w:cs="Times New Roman"/>
          <w:sz w:val="20"/>
          <w:szCs w:val="20"/>
          <w:lang w:val="sv-SE"/>
        </w:rPr>
        <w:t xml:space="preserve">). Penelusuran artikel dilakukan melalui database </w:t>
      </w:r>
      <w:r w:rsidRPr="00475A35">
        <w:rPr>
          <w:rFonts w:ascii="Palatino Linotype" w:hAnsi="Palatino Linotype" w:cs="Times New Roman"/>
          <w:i/>
          <w:iCs/>
          <w:sz w:val="20"/>
          <w:szCs w:val="20"/>
          <w:lang w:val="sv-SE"/>
        </w:rPr>
        <w:t>PubMed</w:t>
      </w:r>
      <w:r w:rsidRPr="00475A35">
        <w:rPr>
          <w:rFonts w:ascii="Palatino Linotype" w:hAnsi="Palatino Linotype" w:cs="Times New Roman"/>
          <w:sz w:val="20"/>
          <w:szCs w:val="20"/>
          <w:lang w:val="sv-SE"/>
        </w:rPr>
        <w:t xml:space="preserve"> dan </w:t>
      </w:r>
      <w:r w:rsidRPr="00475A35">
        <w:rPr>
          <w:rFonts w:ascii="Palatino Linotype" w:hAnsi="Palatino Linotype" w:cs="Times New Roman"/>
          <w:i/>
          <w:iCs/>
          <w:sz w:val="20"/>
          <w:szCs w:val="20"/>
          <w:lang w:val="sv-SE"/>
        </w:rPr>
        <w:t>Science Direct</w:t>
      </w:r>
      <w:r w:rsidRPr="00475A35">
        <w:rPr>
          <w:rFonts w:ascii="Palatino Linotype" w:hAnsi="Palatino Linotype" w:cs="Times New Roman"/>
          <w:sz w:val="20"/>
          <w:szCs w:val="20"/>
          <w:lang w:val="sv-SE"/>
        </w:rPr>
        <w:t xml:space="preserve"> dengan kata kunci yang relevan dengan sindrom Evans, meliputi manajemen, penanganan, terapi yakni ((“evans syndrome”) AND (“management”)) AND (“treatment”)) OR (“therapy”)). </w:t>
      </w:r>
      <w:r w:rsidRPr="000E3166">
        <w:rPr>
          <w:rFonts w:ascii="Palatino Linotype" w:hAnsi="Palatino Linotype" w:cs="Times New Roman"/>
          <w:sz w:val="20"/>
          <w:szCs w:val="20"/>
          <w:lang w:val="sv-SE"/>
        </w:rPr>
        <w:t>Semua artikel yang diterbitkan hingga tahun 2025 berpotensi untuk dimasukkan dalam kajian literatur ini. Selain itu, penelusuran pustaka dari referensi artikel terpublikasi juga dilakukan untuk memperkaya kajian. Selain itu, penelusuran pustaka yang digunakan sebagai referensi dalam artikel terpublikasi juga dilakukan untuk memperkaya kajian. Penulis berupaya mendapatkan bukti penelitian dengan kualitas yang baik, idealnya menggunakan desain acak terkontrol (</w:t>
      </w:r>
      <w:r w:rsidRPr="000E3166">
        <w:rPr>
          <w:rFonts w:ascii="Palatino Linotype" w:hAnsi="Palatino Linotype" w:cs="Times New Roman"/>
          <w:i/>
          <w:iCs/>
          <w:sz w:val="20"/>
          <w:szCs w:val="20"/>
          <w:lang w:val="sv-SE"/>
        </w:rPr>
        <w:t>Randomized Controlled Trial</w:t>
      </w:r>
      <w:r w:rsidRPr="000E3166">
        <w:rPr>
          <w:rFonts w:ascii="Palatino Linotype" w:hAnsi="Palatino Linotype" w:cs="Times New Roman"/>
          <w:sz w:val="20"/>
          <w:szCs w:val="20"/>
          <w:lang w:val="sv-SE"/>
        </w:rPr>
        <w:t>/RCT) untuk membuktikan efektivitas dan keamanan terapi. Namun, mengingat sindrom Evans merupakan kondisi yang sangat langka, kajian ini juga memasukkan bukti dari berbagai desain penelitian lainnya. Selain itu, sumber informasi dari berita terkait terapi baik yang tercetak maupun daring, deskripsi penelitian terdaftar, dan abstrak berbahasa Inggris dari laporan kasus dari berbagai negara juga digunakan sebagai acuan untuk memperluas cakupan kajian pustaka ini.</w:t>
      </w:r>
    </w:p>
    <w:p w14:paraId="158E7314" w14:textId="77777777" w:rsidR="0083570B" w:rsidRPr="000E3166" w:rsidRDefault="0083570B" w:rsidP="0083570B">
      <w:pPr>
        <w:spacing w:after="0" w:line="240" w:lineRule="auto"/>
        <w:jc w:val="both"/>
        <w:rPr>
          <w:rFonts w:ascii="Palatino Linotype" w:eastAsia="Times New Roman" w:hAnsi="Palatino Linotype" w:cs="Times New Roman"/>
          <w:bCs/>
          <w:color w:val="000000"/>
          <w:sz w:val="20"/>
          <w:szCs w:val="20"/>
          <w:lang w:val="sv-SE" w:eastAsia="en-MY"/>
        </w:rPr>
      </w:pPr>
    </w:p>
    <w:p w14:paraId="121B2C9F" w14:textId="5F1E4056" w:rsidR="0083570B" w:rsidRDefault="005016DF" w:rsidP="0083570B">
      <w:p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t>TINJAUAN PUSTAKA</w:t>
      </w:r>
    </w:p>
    <w:p w14:paraId="3FA75969" w14:textId="55B79C01" w:rsidR="00C54D8C" w:rsidRPr="00C54D8C" w:rsidRDefault="005016DF" w:rsidP="00C54D8C">
      <w:pPr>
        <w:pStyle w:val="ListParagraph"/>
        <w:numPr>
          <w:ilvl w:val="0"/>
          <w:numId w:val="42"/>
        </w:numPr>
        <w:spacing w:after="0" w:line="240" w:lineRule="auto"/>
        <w:rPr>
          <w:rFonts w:ascii="Palatino Linotype" w:hAnsi="Palatino Linotype"/>
          <w:b/>
          <w:bCs/>
          <w:color w:val="000000"/>
          <w:sz w:val="20"/>
          <w:szCs w:val="20"/>
          <w:lang w:val="en-US"/>
        </w:rPr>
      </w:pPr>
      <w:r w:rsidRPr="00C54D8C">
        <w:rPr>
          <w:rFonts w:ascii="Palatino Linotype" w:hAnsi="Palatino Linotype"/>
          <w:b/>
          <w:bCs/>
          <w:color w:val="000000"/>
          <w:sz w:val="20"/>
          <w:szCs w:val="20"/>
          <w:lang w:val="en-US"/>
        </w:rPr>
        <w:t xml:space="preserve">Definisi sindrom Evans </w:t>
      </w:r>
    </w:p>
    <w:p w14:paraId="54293B62" w14:textId="2D96A5B5" w:rsidR="00C54D8C" w:rsidRPr="00C54D8C" w:rsidRDefault="00C54D8C" w:rsidP="00C54D8C">
      <w:pPr>
        <w:pStyle w:val="ListParagraph"/>
        <w:spacing w:after="0" w:line="240" w:lineRule="auto"/>
        <w:ind w:left="284" w:firstLine="436"/>
        <w:jc w:val="both"/>
        <w:rPr>
          <w:rFonts w:ascii="Palatino Linotype" w:hAnsi="Palatino Linotype" w:cs="Times New Roman"/>
          <w:bCs/>
          <w:sz w:val="20"/>
          <w:szCs w:val="20"/>
        </w:rPr>
      </w:pPr>
      <w:r w:rsidRPr="00C54D8C">
        <w:rPr>
          <w:rFonts w:ascii="Palatino Linotype" w:hAnsi="Palatino Linotype" w:cs="Times New Roman"/>
          <w:bCs/>
          <w:i/>
          <w:iCs/>
          <w:sz w:val="20"/>
          <w:szCs w:val="20"/>
        </w:rPr>
        <w:t>Evans Syndrome</w:t>
      </w:r>
      <w:r w:rsidRPr="00C54D8C">
        <w:rPr>
          <w:rFonts w:ascii="Palatino Linotype" w:hAnsi="Palatino Linotype" w:cs="Times New Roman"/>
          <w:bCs/>
          <w:sz w:val="20"/>
          <w:szCs w:val="20"/>
        </w:rPr>
        <w:t xml:space="preserve"> (ES) atau sindrom Evans adalah penyakit autoimun langka di mana sistem kekebalan tubuh secara keliru menyerang sel darah merah, sel darah putih, dan/atau trombosit, sehingga menyebabkan penurunan jumlah sel darah (sitopenia) yang signifikan. Sindrom ini merupakan kelainan hematologi yang ditandai oleh perkembangan simultan atau berurutan dari anemia hemolitik autoimun </w:t>
      </w:r>
      <w:r w:rsidRPr="00C54D8C">
        <w:rPr>
          <w:rFonts w:ascii="Palatino Linotype" w:hAnsi="Palatino Linotype" w:cs="Times New Roman"/>
          <w:bCs/>
          <w:sz w:val="20"/>
          <w:szCs w:val="20"/>
        </w:rPr>
        <w:lastRenderedPageBreak/>
        <w:t xml:space="preserve">(AIHA), yang ditandai dengan hasil Direct Antiglobulin Test (DAT) positif, trombositopenia imun purpura (ITP), dan/atau neutropenia imun tanpa penyebab yang jelas. Sindrom Evans pertama kali dijelaskan oleh Robert Evans pada tahun 1951, yang mengaitkan trombositopenia imun primer dengan anemia hemolitik yang didapat. Kriteria diagnosis awal meliputi anemia, retikulositosis, peningkatan bilirubin darah dan urobilinogen feses, tidak ada riwayat keluarga penyakit hemolitik, bukti antibodi terhadap eritrosit pada suhu 37 °C, hemolisis eritrosit yang ditransfusikan, purpura, waktu pendarahan yang lama, aspirasi sumsum tulang dengan jumlah megakariosit normal atau meningkat, serta tidak adanya agen toksik atau penyakit dasar. Dalam banyak kasus, penghancuran autoimun terhadap sel darah ini terjadi secara bersamaan, namun seringkali satu kondisi berkembang terlebih dahulu sebelum kondisi lainnya muncul (berurutan). Penyebab pasti sindrom ini masih belum diketahui, meskipun diduga melibatkan faktor genetik, infeksi virus, dan faktor lingkungan </w:t>
      </w:r>
      <w:r w:rsidR="005016DF" w:rsidRPr="00C54D8C">
        <w:rPr>
          <w:rFonts w:ascii="Palatino Linotype" w:hAnsi="Palatino Linotype" w:cs="Times New Roman"/>
          <w:bCs/>
          <w:sz w:val="20"/>
          <w:szCs w:val="20"/>
        </w:rPr>
        <w:fldChar w:fldCharType="begin" w:fldLock="1"/>
      </w:r>
      <w:r w:rsidR="00AE4DEC">
        <w:rPr>
          <w:rFonts w:ascii="Palatino Linotype" w:hAnsi="Palatino Linotype" w:cs="Times New Roman"/>
          <w:bCs/>
          <w:sz w:val="20"/>
          <w:szCs w:val="20"/>
        </w:rPr>
        <w:instrText>ADDIN CSL_CITATION {"citationItems":[{"id":"ITEM-1","itemData":{"DOI":"10.14740/jh222w","ISSN":"1927-1212","abstract":"Evans syndrome (ES) is a rare hematologic disorder characterized by the presence of Direct Antiglobulin test (DAT) positive autoimmune hemolytic anemia (AIHA), immune thrombocytopenia (ITP), and/or immune neutropenia. The risk of thrombosis has been well established in retrospective studies for ITP and AIHA; however, the risk of thrombosis in ES has been limited to case reports and individual case series. Whether the risk of thrombosis in ITP and AIHA is additive has not been well established, but preliminary observation suggests the rate of thrombosis is higher than the rate observed in ITP or AIHA individually. Furthermore, ES appears to be an underappreciated diagnosis. Anemia in the presence of ITP is often considered to be secondary to acute blood loss and a proper workup for hemolysis is often missed. Appropriate risk stratification of these patients is hindered by this lack of workup and many patients are unfortunately not treated appropriately and/or not offered appropriate prophylaxis for their level of thrombotic risk. The purpose of this case report is to not only increase the level of awareness among clinicians to initiate an appropriate diagnostic workup in patients presenting with anemia in the setting of ITP, but also to a heightened thrombotic risk warranting an appropriate thromboprophylaxis. This case also adds to the body of evidence that a “second- hit” phenomenon is often a precipitating cause for a thrombotic event.J Hematol. 2015;4(3):205-209doi: http://dx.doi.org/10.14740/jh222w","author":[{"dropping-particle":"","family":"Otaibi","given":"Zachary D.","non-dropping-particle":"","parse-names":false,"suffix":""},{"dropping-particle":"","family":"Rao","given":"Rohit","non-dropping-particle":"","parse-names":false,"suffix":""},{"dropping-particle":"","family":"Sadashiv","given":"Santhosh K.","non-dropping-particle":"","parse-names":false,"suffix":""}],"container-title":"Journal of Hematology","id":"ITEM-1","issue":"3","issued":{"date-parts":[["2015"]]},"page":"205-209","title":"A Case of Evans Syndrome: A Clinical Condition With Under-Recognized Thrombotic Risk","type":"article-journal","volume":"4"},"uris":["http://www.mendeley.com/documents/?uuid=4bc1ae2f-f791-4778-a891-5656321d7052","http://www.mendeley.com/documents/?uuid=ef3d9da9-f561-4eca-bb22-dd9d12d88579"]},{"id":"ITEM-2","itemData":{"DOI":"10.37275/bsm.v7i4.805","abstract":"Background: Evans syndrome (ES) is an autoimmune disease characterized by the presence of autoimmune hemolytic anemia (AIHA) and idiopathic thrombocytopenic purpura (ITP), together with unknown causes. ES disease is the least common, diagnosed in only 0.8% - 3.7% of all patients with AIHA or ITP. This study aimed to describe Evans syndrome in a 44-year-old male patient.\r Case presentation: A 44-year-old male patient was reported with complaints of weakness and fatigue, red spots, a history of bleeding gums, a history of bleeding from the nose, and a history of red urination. A routine blood examination revealed mild anemia, reticulocytosis, and thrombocytopenia, and the peripheral blood showed polychromatic erythrocytes. Other laboratory examinations revealed an increase in LDH. The results of a positive Comb’s test and antibody screening examination showed the impression of warm-type AIHA. The diagnosis of Evans syndrome in this patient was confirmed by the presence of AIHA and ITP, which co-occur and are primarily due to unknown causes.\r Conclusion: ES is a rare disorder and a diagnosis of exclusion. The diagnosis of ES was established by the presence of signs and symptoms of AIHA and ITP accompanied by a positive direct antiglobulin test with no other etiology found.","author":[{"dropping-particle":"","family":"Afriant","given":"Rudy","non-dropping-particle":"","parse-names":false,"suffix":""},{"dropping-particle":"","family":"Fikri","given":"Avino Mulana","non-dropping-particle":"","parse-names":false,"suffix":""},{"dropping-particle":"","family":"Kam","given":"Alexander","non-dropping-particle":"","parse-names":false,"suffix":""}],"container-title":"Bioscientia Medicina : Journal of Biomedicine and Translational Research","id":"ITEM-2","issue":"4","issued":{"date-parts":[["2023"]]},"page":"3226-3229","title":"Evans Syndrome in a Forty-Four Years Old Male Patient: A Case Report","type":"article-journal","volume":"7"},"uris":["http://www.mendeley.com/documents/?uuid=8505ed27-45ff-413a-b463-8c75b83d159b","http://www.mendeley.com/documents/?uuid=fa7763f1-bccf-4712-bd17-014d6dd375b6"]},{"id":"ITEM-3","itemData":{"DOI":"10.2147/JBM.S176144","ISSN":"11792736","PMID":"30349415","abstract":"Evans syndrome (ES) is a rare and chronic autoimmune disease characterized by autoimmune hemolytic anemia and immune thrombocytopenic purpura with a positive direct anti-human globulin test. It is classified as primary and secondary, with the frequency in patients with autoimmune hemolytic anemia being 37%–73%. It predominates in children, mainly due to primary immunodeficiencies or autoimmune lymphoproliferative syndrome. ES during pregnancy is associated with high fetal morbidity, including severe hemolysis and intracranial bleeding with neurological sequelae and death. The clinical presentation can include fatigue, pallor, jaundice and mucosal bleeding, with remissions and exacerbations during the person’s lifetime, and acute manifestations as catastrophic bleeding and massive hemolysis. Recent molecular theories explaining the physiopathology of ES include deficiencies of CTLA-4, LRBA, TPP2 and a decreased CD4/CD8 ratio. As in other autoimmune cytopenias, there is no established evidence-based treatment and steroids are the first-line therapy, with intravenous immunoglobulin administered as a life-saving resource in cases of severe immune thrombocytopenic purpura manifestations. Second-line treatment for refractory ES includes rituximab, mofetil mycophenolate, cyclosporine, vincristine, azathioprine, sirolimus and thrombopoietin receptor agonists. In cases unresponsive to immunosuppressive agents, hematopoietic stem cell transplantation has been successful, although it is necessary to consider its potential serious adverse effects. In conclusion, ES is a disease with a heterogeneous course that remains challenging to patients and physicians, with prospective clinical trials needed to explore potential targeted therapy to achieve an improved long-term response or even a cure.","author":[{"dropping-particle":"","family":"Jaime-Pérez","given":"José Carlos","non-dropping-particle":"","parse-names":false,"suffix":""},{"dropping-particle":"","family":"Elva","given":"Patrizia","non-dropping-particle":"","parse-names":false,"suffix":""},{"dropping-particle":"","family":"Aguilar-Calderón","given":"","non-dropping-particle":"","parse-names":false,"suffix":""},{"dropping-particle":"","family":"Salazar-Cavazos","given":"Lorena","non-dropping-particle":"","parse-names":false,"suffix":""},{"dropping-particle":"","family":"Gómez-Almaguer","given":"David","non-dropping-particle":"","parse-names":false,"suffix":""}],"container-title":"Journal of Blood Medicine","id":"ITEM-3","issued":{"date-parts":[["2018"]]},"page":"171-184","title":"Evans syndrome: Clinical perspectives, biological insights and treatment modalities","type":"article-journal","volume":"9"},"uris":["http://www.mendeley.com/documents/?uuid=761b199c-2af2-4eb5-bcd8-3e906bcd2a66","http://www.mendeley.com/documents/?uuid=ccfdb421-1aec-4488-bbe0-83dd784ef9a3","http://www.mendeley.com/documents/?uuid=182cc7a9-9ee0-4617-8a7e-14ca82d60823"]}],"mendeley":{"formattedCitation":"[1,10,12]","plainTextFormattedCitation":"[1,10,12]","previouslyFormattedCitation":"(1,10,12)"},"properties":{"noteIndex":0},"schema":"https://github.com/citation-style-language/schema/raw/master/csl-citation.json"}</w:instrText>
      </w:r>
      <w:r w:rsidR="005016DF" w:rsidRPr="00C54D8C">
        <w:rPr>
          <w:rFonts w:ascii="Palatino Linotype" w:hAnsi="Palatino Linotype" w:cs="Times New Roman"/>
          <w:bCs/>
          <w:sz w:val="20"/>
          <w:szCs w:val="20"/>
        </w:rPr>
        <w:fldChar w:fldCharType="separate"/>
      </w:r>
      <w:r w:rsidR="00AE4DEC" w:rsidRPr="00AE4DEC">
        <w:rPr>
          <w:rFonts w:ascii="Palatino Linotype" w:hAnsi="Palatino Linotype" w:cs="Times New Roman"/>
          <w:bCs/>
          <w:sz w:val="20"/>
          <w:szCs w:val="20"/>
        </w:rPr>
        <w:t>[1,10,12]</w:t>
      </w:r>
      <w:r w:rsidR="005016DF" w:rsidRPr="00C54D8C">
        <w:rPr>
          <w:rFonts w:ascii="Palatino Linotype" w:hAnsi="Palatino Linotype" w:cs="Times New Roman"/>
          <w:bCs/>
          <w:sz w:val="20"/>
          <w:szCs w:val="20"/>
        </w:rPr>
        <w:fldChar w:fldCharType="end"/>
      </w:r>
      <w:r w:rsidR="005016DF" w:rsidRPr="00C54D8C">
        <w:rPr>
          <w:rFonts w:ascii="Palatino Linotype" w:hAnsi="Palatino Linotype" w:cs="Times New Roman"/>
          <w:bCs/>
          <w:sz w:val="20"/>
          <w:szCs w:val="20"/>
        </w:rPr>
        <w:t xml:space="preserve">. </w:t>
      </w:r>
    </w:p>
    <w:p w14:paraId="423F50AC" w14:textId="17AD2D41" w:rsidR="00C54D8C" w:rsidRPr="00C54D8C" w:rsidRDefault="00C54D8C" w:rsidP="00C54D8C">
      <w:pPr>
        <w:pStyle w:val="ListParagraph"/>
        <w:spacing w:after="0" w:line="240" w:lineRule="auto"/>
        <w:ind w:left="284" w:firstLine="436"/>
        <w:jc w:val="both"/>
        <w:rPr>
          <w:rFonts w:ascii="Palatino Linotype" w:hAnsi="Palatino Linotype" w:cs="Times New Roman"/>
          <w:bCs/>
          <w:sz w:val="20"/>
          <w:szCs w:val="20"/>
        </w:rPr>
      </w:pPr>
      <w:r w:rsidRPr="00C54D8C">
        <w:rPr>
          <w:rFonts w:ascii="Palatino Linotype" w:hAnsi="Palatino Linotype" w:cs="Times New Roman"/>
          <w:bCs/>
          <w:sz w:val="20"/>
          <w:szCs w:val="20"/>
        </w:rPr>
        <w:t xml:space="preserve">Sekitar 48% anak-anak dan 55% orang dewasa dengan Sindrom Evans mengalami kedua kondisi autoimun, yaitu anemia hemolitik autoimun (AIHA) dan purpura trombositopenia idiopatik (ITP), secara bersamaan. Namun, banyak pasien awalnya menunjukkan hanya satu jenis sitopenia autoimun; ITP muncul pertama pada sekitar 29% anak-anak, sedangkan AIHA muncul pertama pada 24% anak-anak dan 16% orang dewasa </w:t>
      </w:r>
      <w:r w:rsidRPr="00C54D8C">
        <w:rPr>
          <w:rFonts w:ascii="Palatino Linotype" w:hAnsi="Palatino Linotype" w:cs="Times New Roman"/>
          <w:bCs/>
          <w:sz w:val="20"/>
          <w:szCs w:val="20"/>
        </w:rPr>
        <w:fldChar w:fldCharType="begin" w:fldLock="1"/>
      </w:r>
      <w:r w:rsidR="00AE4DEC">
        <w:rPr>
          <w:rFonts w:ascii="Palatino Linotype" w:hAnsi="Palatino Linotype" w:cs="Times New Roman"/>
          <w:bCs/>
          <w:sz w:val="20"/>
          <w:szCs w:val="20"/>
        </w:rPr>
        <w:instrText>ADDIN CSL_CITATION {"citationItems":[{"id":"ITEM-1","itemData":{"DOI":"10.1007/978-3-319-73269-5_2","ISBN":"9783319732695","author":[{"dropping-particle":"","family":"Kim","given":"Taylor Olmsted","non-dropping-particle":"","parse-names":false,"suffix":""}],"container-title":"Immune Hematology: Diagnosis and Management of Autoimmune Cytopenias","id":"ITEM-1","issued":{"date-parts":[["2018"]]},"number-of-pages":"17-33","title":"Pathophysiology of immune thrombocytopenia","type":"book"},"uris":["http://www.mendeley.com/documents/?uuid=68b419a8-9e7a-4117-8229-4777d43fda56","http://www.mendeley.com/documents/?uuid=5db4ecde-991f-4771-bb35-a9e8f49b8059"]}],"mendeley":{"formattedCitation":"[13]","plainTextFormattedCitation":"[13]","previouslyFormattedCitation":"(13)"},"properties":{"noteIndex":0},"schema":"https://github.com/citation-style-language/schema/raw/master/csl-citation.json"}</w:instrText>
      </w:r>
      <w:r w:rsidRPr="00C54D8C">
        <w:rPr>
          <w:rFonts w:ascii="Palatino Linotype" w:hAnsi="Palatino Linotype" w:cs="Times New Roman"/>
          <w:bCs/>
          <w:sz w:val="20"/>
          <w:szCs w:val="20"/>
        </w:rPr>
        <w:fldChar w:fldCharType="separate"/>
      </w:r>
      <w:r w:rsidR="00AE4DEC" w:rsidRPr="00AE4DEC">
        <w:rPr>
          <w:rFonts w:ascii="Palatino Linotype" w:hAnsi="Palatino Linotype" w:cs="Times New Roman"/>
          <w:bCs/>
          <w:sz w:val="20"/>
          <w:szCs w:val="20"/>
        </w:rPr>
        <w:t>[13]</w:t>
      </w:r>
      <w:r w:rsidRPr="00C54D8C">
        <w:rPr>
          <w:rFonts w:ascii="Palatino Linotype" w:hAnsi="Palatino Linotype" w:cs="Times New Roman"/>
          <w:bCs/>
          <w:sz w:val="20"/>
          <w:szCs w:val="20"/>
        </w:rPr>
        <w:fldChar w:fldCharType="end"/>
      </w:r>
      <w:r w:rsidRPr="00C54D8C">
        <w:rPr>
          <w:rFonts w:ascii="Palatino Linotype" w:hAnsi="Palatino Linotype" w:cs="Times New Roman"/>
          <w:bCs/>
          <w:sz w:val="20"/>
          <w:szCs w:val="20"/>
        </w:rPr>
        <w:t xml:space="preserve">. </w:t>
      </w:r>
      <w:r w:rsidRPr="000E3166">
        <w:rPr>
          <w:rFonts w:ascii="Palatino Linotype" w:hAnsi="Palatino Linotype" w:cs="Times New Roman"/>
          <w:bCs/>
          <w:sz w:val="20"/>
          <w:szCs w:val="20"/>
          <w:lang w:val="sv-SE"/>
        </w:rPr>
        <w:t xml:space="preserve">Sindrom Evans diklasifikasikan menjadi primer (idiopatik) dan sekunder (berkaitan dengan penyakit primer lainnya). ES sekunder sering dikaitkan dengan gangguan lain seperti sindrom limfoproliferatif autoimun (ALPS), lupus, sindrom antifosfolipid, sindrom Sjogren, defisiensi imun variabel umum, defisiensi IgA, limfoma, dan leukemia limfositik kronis. Tingkat kelangsungan hidup pada ES primer lebih baik dibandingkan ES sekunder, dengan rata-rata kelangsungan hidup 10,9 tahun versus 1,7 tahun, serta tingkat kelangsungan hidup 5 tahun sekitar 75% pada ES primer dibandingkan 38% pada ES sekunder </w:t>
      </w:r>
      <w:r w:rsidRPr="00C54D8C">
        <w:rPr>
          <w:rFonts w:ascii="Palatino Linotype" w:hAnsi="Palatino Linotype" w:cs="Times New Roman"/>
          <w:bCs/>
          <w:sz w:val="20"/>
          <w:szCs w:val="20"/>
        </w:rPr>
        <w:fldChar w:fldCharType="begin" w:fldLock="1"/>
      </w:r>
      <w:r w:rsidR="00AE4DEC">
        <w:rPr>
          <w:rFonts w:ascii="Palatino Linotype" w:hAnsi="Palatino Linotype" w:cs="Times New Roman"/>
          <w:bCs/>
          <w:sz w:val="20"/>
          <w:szCs w:val="20"/>
          <w:lang w:val="sv-SE"/>
        </w:rPr>
        <w:instrText>ADDIN CSL_CITATION {"citationItems":[{"id":"ITEM-1","itemData":{"DOI":"10.37275/bsm.v7i4.805","abstract":"Background: Evans syndrome (ES) is an autoimmune disease characterized by the presence of autoimmune hemolytic anemia (AIHA) and idiopathic thrombocytopenic purpura (ITP), together with unknown causes. ES disease is the least common, diagnosed in only 0.8% - 3.7% of all patients with AIHA or ITP. This study aimed to describe Evans syndrome in a 44-year-old male patient.\r Case presentation: A 44-year-old male patient was reported with complaints of weakness and fatigue, red spots, a history of bleeding gums, a history of bleeding from the nose, and a history of red urination. A routine blood examination revealed mild anemia, reticulocytosis, and thrombocytopenia, and the peripheral blood showed polychromatic erythrocytes. Other laboratory examinations revealed an increase in LDH. The results of a positive Comb’s test and antibody screening examination showed the impression of warm-type AIHA. The diagnosis of Evans syndrome in this patient was confirmed by the presence of AIHA and ITP, which co-occur and are primarily due to unknown causes.\r Conclusion: ES is a rare disorder and a diagnosis of exclusion. The diagnosis of ES was established by the presence of signs and symptoms of AIHA and ITP accompanied by a positive direct antiglobulin test with no other etiology found.","author":[{"dropping-particle":"","family":"Afriant","given":"Rudy","non-dropping-particle":"","parse-names":false,"suffix":""},{"dropping-particle":"","family":"Fikri","given":"Avino Mulana","non-dropping-particle":"","parse-names":false,"suffix":""},{"dropping-particle":"","family":"Kam","given":"Alexander","non-dropping-particle":"","parse-names":false,"suffix":""}],"container-title":"Bioscientia Medicina : Journal of Biomedicine and Translational Research","id":"ITEM-1","issue":"4","issued":{"date-parts":[["2023"]]},"page":"3226-3229","title":"Evans Syndrome in a Forty-Four Years Old Male Patient: A Case Report","type":"article-journal","volume":"7"},"uris":["http://www.mendeley.com/documents/?uuid=8505ed27-45ff-413a-b463-8c75b83d159b","http://www.mendeley.com/documents/?uuid=fa7763f1-bccf-4712-bd17-014d6dd375b6"]}],"mendeley":{"formattedCitation":"[10]","plainTextFormattedCitation":"[10]","previouslyFormattedCitation":"(10)"},"properties":{"noteIndex":0},"schema":"https://github.com/citation-style-language/schema/raw/master/csl-citation.json"}</w:instrText>
      </w:r>
      <w:r w:rsidRPr="00C54D8C">
        <w:rPr>
          <w:rFonts w:ascii="Palatino Linotype" w:hAnsi="Palatino Linotype" w:cs="Times New Roman"/>
          <w:bCs/>
          <w:sz w:val="20"/>
          <w:szCs w:val="20"/>
        </w:rPr>
        <w:fldChar w:fldCharType="separate"/>
      </w:r>
      <w:r w:rsidR="00AE4DEC" w:rsidRPr="00AE4DEC">
        <w:rPr>
          <w:rFonts w:ascii="Palatino Linotype" w:hAnsi="Palatino Linotype" w:cs="Times New Roman"/>
          <w:bCs/>
          <w:sz w:val="20"/>
          <w:szCs w:val="20"/>
        </w:rPr>
        <w:t>[10]</w:t>
      </w:r>
      <w:r w:rsidRPr="00C54D8C">
        <w:rPr>
          <w:rFonts w:ascii="Palatino Linotype" w:hAnsi="Palatino Linotype" w:cs="Times New Roman"/>
          <w:bCs/>
          <w:sz w:val="20"/>
          <w:szCs w:val="20"/>
        </w:rPr>
        <w:fldChar w:fldCharType="end"/>
      </w:r>
      <w:r w:rsidRPr="00C54D8C">
        <w:rPr>
          <w:rFonts w:ascii="Palatino Linotype" w:hAnsi="Palatino Linotype" w:cs="Times New Roman"/>
          <w:bCs/>
          <w:sz w:val="20"/>
          <w:szCs w:val="20"/>
        </w:rPr>
        <w:t xml:space="preserve">. </w:t>
      </w:r>
    </w:p>
    <w:p w14:paraId="074C77FE" w14:textId="77777777" w:rsidR="00C54D8C" w:rsidRPr="00C54D8C" w:rsidRDefault="00C54D8C" w:rsidP="00C54D8C">
      <w:pPr>
        <w:pStyle w:val="ListParagraph"/>
        <w:spacing w:after="0" w:line="240" w:lineRule="auto"/>
        <w:ind w:left="284" w:firstLine="436"/>
        <w:jc w:val="both"/>
        <w:rPr>
          <w:rFonts w:ascii="Palatino" w:hAnsi="Palatino" w:cs="Times New Roman"/>
          <w:bCs/>
          <w:sz w:val="20"/>
          <w:szCs w:val="20"/>
        </w:rPr>
      </w:pPr>
    </w:p>
    <w:p w14:paraId="205EB6D8" w14:textId="1060AA05" w:rsidR="005F1897" w:rsidRPr="005F1897" w:rsidRDefault="00C54D8C" w:rsidP="005F1897">
      <w:pPr>
        <w:pStyle w:val="ListParagraph"/>
        <w:numPr>
          <w:ilvl w:val="0"/>
          <w:numId w:val="42"/>
        </w:num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t xml:space="preserve">Patofisiologi sindrom Evans </w:t>
      </w:r>
    </w:p>
    <w:p w14:paraId="5F162DC8" w14:textId="6B1A299C" w:rsidR="00C54D8C" w:rsidRDefault="005F1897" w:rsidP="00C54D8C">
      <w:pPr>
        <w:spacing w:after="0" w:line="240" w:lineRule="auto"/>
        <w:ind w:left="360" w:firstLine="349"/>
        <w:jc w:val="both"/>
        <w:rPr>
          <w:rFonts w:ascii="Palatino Linotype" w:hAnsi="Palatino Linotype"/>
          <w:color w:val="000000"/>
          <w:sz w:val="20"/>
          <w:szCs w:val="20"/>
          <w:lang w:val="en-US"/>
        </w:rPr>
      </w:pPr>
      <w:r w:rsidRPr="005F1897">
        <w:rPr>
          <w:rFonts w:ascii="Palatino Linotype" w:hAnsi="Palatino Linotype"/>
          <w:color w:val="000000"/>
          <w:sz w:val="20"/>
          <w:szCs w:val="20"/>
          <w:lang w:val="en-US"/>
        </w:rPr>
        <w:t>Patofisiologi sindrom Evans belum sepenuhnya dipahami dan melibatkan gangguan kompleks pada sistem imun. Penyakit ini diduga berkaitan dengan autoantibodi yang menyerang antigen spesifik pada sel darah merah, trombosit, dan kadang neutrofil, yang diproduksi oleh limfosit B yang mengalami disregulasi akibat kelainan fungsi sel T. Disregulasi ini ditandai oleh penurunan sel T-regulatori (Treg), peningkatan sel Th17 pro-inflamasi, serta peningkatan spesies oksigen reaktif (ROS), yang mengganggu proses kematian sel terprogram (apoptosis) dan meningkatkan produksi autoantibodi. Selain itu, terdapat penurunan rasio CD4:CD8 dengan proporsi sel T4 menurun dan sel T8 meningkat, serta penurunan produksi interleukin-10 dan gamma interferon yang menyebabkan aktivasi sel B secara abnormal. Akibatnya, autoantibodi menghancurkan membran sel darah merah dan menyebabkan sitopenia imunologis yang mencakup anemia hemolitik, trombositopenia, dan kadang neutropenia. Penyakit ini umumnya bersifat kronis dengan periode eksaserbasi dan remisi, serta sering kali berhubungan dengan kelainan regulasi imun yang juga ditemukan pada sindrom limfoproliferatif autoimun</w:t>
      </w:r>
      <w:r>
        <w:rPr>
          <w:rFonts w:ascii="Palatino Linotype" w:hAnsi="Palatino Linotype"/>
          <w:color w:val="000000"/>
          <w:sz w:val="20"/>
          <w:szCs w:val="20"/>
          <w:lang w:val="en-US"/>
        </w:rPr>
        <w:t xml:space="preserve"> </w:t>
      </w:r>
      <w:r w:rsidR="001B7A6A">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{"citationItems":[{"id":"ITEM-1","itemData":{"DOI":"10.1016/j.bjhh.2015.03.002","ISSN":"18060870","abstract":"Objective: To document the experience of one referral service with patients diagnosed with Evans syndrome, the treatment and response and to briefly review current treatment strategies and results. Methods: Patients enrolled in this study fulfilled criteria for Evans syndrome. Data were retrieved from the clinical files and electronic databases of the Department of Hematology, Hospital Universitario \"Dr. José Eleuterio González\". Treatment modalities and response and the use of additional therapies were evaluated. The literature was reviewed in the context of the clinical course of the studied patients. Results: Six patients were diagnosed with Evans syndrome in the study period. Patient 1 was treated with steroids, relapsed twice and was again treated with steroids. Patient 2 treated initially with steroids plus intravenous immunoglobulin was subsequently lost to follow-up. A good response was achieved in Patients 3 and 4, who were treated with steroids plus rituximab; patient 4 also received danazol as a second-line therapy. However both relapsed and subsequently underwent splenectomy at ten and nine months, respectively. One patient, number 5, treated with steroids, danazol and rituximab did not relapse within four years of follow-up and Patient 6, who received steroids plus danazol did not relapse within three years of follow-up. Conclusion: Evans syndrome is an uncommon hematologic condition rarely diagnosed and not widely studied. Clinicians must have it in mind when evaluating a patient with a positive direct antiglobulin test, anemia and thrombocytopenia, since prognosis depends on its early recognition and opportune therapy, but even this leads to variable results.","author":[{"dropping-particle":"","family":"Jaime-Pérez","given":"José Carlos","non-dropping-particle":"","parse-names":false,"suffix":""},{"dropping-particle":"","family":"Guerra-Leal","given":"Liliana Nataly","non-dropping-particle":"","parse-names":false,"suffix":""},{"dropping-particle":"","family":"López-Razo","given":"Olga Nidia","non-dropping-particle":"","parse-names":false,"suffix":""},{"dropping-particle":"","family":"Méndez-Ramírez","given":"Nereida","non-dropping-particle":"","parse-names":false,"suffix":""},{"dropping-particle":"","family":"Gómez-Almaguer","given":"David","non-dropping-particle":"","parse-names":false,"suffix":""}],"container-title":"Revista Brasileira de Hematologia e Hemoterapia","id":"ITEM-1","issue":"4","issued":{"date-parts":[["2015"]]},"page":"230-235","publisher":"Associação Brasileira de Hematologia, Hemoterapia e Terapia Celular","title":"Experience with Evans syndrome in an academic referral center","type":"article-journal","volume":"37"},"uris":["http://www.mendeley.com/documents/?uuid=279a9aab-6246-4f65-8b9e-e9192a8b391a","http://www.mendeley.com/documents/?uuid=1a688f16-7ade-4718-a9c4-c2b6227dcbde"]},{"id":"ITEM-2","itemData":{"DOI":"10.21705/mcbs.v7i3.345","author":[{"dropping-particle":"","family":"Yulistiani","given":"","non-dropping-particle":"","parse-names":false,"suffix":""},{"dropping-particle":"","family":"Dwiyatna","given":"Surya","non-dropping-particle":"","parse-names":false,"suffix":""},{"dropping-particle":"","family":"Utomo","given":"Febriansyah Nur","non-dropping-particle":"","parse-names":false,"suffix":""}],"id":"ITEM-2","issue":"3","issued":{"date-parts":[["2023"]]},"title":"Mechanism of Actions, Efficacy, and Long-term Use of Steroids in Autoimmune Hemolytic Anemia (AIHA)","type":"article-journal","volume":"7"},"uris":["http://www.mendeley.com/documents/?uuid=a0a8e7b0-530c-4f92-a176-a3aa66fbcebb","http://www.mendeley.com/documents/?uuid=63b688d6-97f3-43f3-97e5-6644bf1e2018"]},{"id":"ITEM-3","itemData":{"DOI":"10.31579/2690-8794/207","author":[{"dropping-particle":"","family":"Asadi","given":"Shahin","non-dropping-particle":"","parse-names":false,"suffix":""},{"dropping-particle":"","family":"Gholizadeh","given":"Zahra","non-dropping-particle":"","parse-names":false,"suffix":""},{"dropping-particle":"","family":"Amirabadi","given":"Hamid","non-dropping-particle":"","parse-names":false,"suffix":""}],"id":"ITEM-3","issue":"April","issued":{"date-parts":[["2024"]]},"title":"A Comprehensive Review of the Pathological Mechanism of Evans Syndrome A Comprehensive Review of the Pathological Mechanism of Evans Syndrome","type":"article-journal"},"uris":["http://www.mendeley.com/documents/?uuid=cb39c610-e915-4998-bff2-37f318a787dd","http://www.mendeley.com/documents/?uuid=22922db0-24fe-4a43-8ed4-2f0d8ccacba4"]}],"mendeley":{"formattedCitation":"[4,14,15]","plainTextFormattedCitation":"[4,14,15]","previouslyFormattedCitation":"(4,14,15)"},"properties":{"noteIndex":0},"schema":"https://github.com/citation-style-language/schema/raw/master/csl-citation.json"}</w:instrText>
      </w:r>
      <w:r w:rsidR="001B7A6A">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[4,14,15]</w:t>
      </w:r>
      <w:r w:rsidR="001B7A6A">
        <w:rPr>
          <w:rFonts w:ascii="Palatino Linotype" w:hAnsi="Palatino Linotype"/>
          <w:color w:val="000000"/>
          <w:sz w:val="20"/>
          <w:szCs w:val="20"/>
          <w:lang w:val="en-US"/>
        </w:rPr>
        <w:fldChar w:fldCharType="end"/>
      </w:r>
      <w:r w:rsidR="001B7A6A">
        <w:rPr>
          <w:rFonts w:ascii="Palatino Linotype" w:hAnsi="Palatino Linotype"/>
          <w:color w:val="000000"/>
          <w:sz w:val="20"/>
          <w:szCs w:val="20"/>
          <w:lang w:val="en-US"/>
        </w:rPr>
        <w:t xml:space="preserve">. </w:t>
      </w:r>
    </w:p>
    <w:p w14:paraId="702FE4F9" w14:textId="56643F11" w:rsidR="001B7A6A" w:rsidRDefault="001B7A6A" w:rsidP="00C54D8C">
      <w:pPr>
        <w:spacing w:after="0" w:line="240" w:lineRule="auto"/>
        <w:ind w:left="360" w:firstLine="349"/>
        <w:jc w:val="both"/>
        <w:rPr>
          <w:rFonts w:ascii="Palatino Linotype" w:hAnsi="Palatino Linotype"/>
          <w:color w:val="000000"/>
          <w:sz w:val="20"/>
          <w:szCs w:val="20"/>
          <w:lang w:val="en-US"/>
        </w:rPr>
      </w:pPr>
      <w:r w:rsidRPr="001B7A6A">
        <w:rPr>
          <w:rFonts w:ascii="Palatino Linotype" w:hAnsi="Palatino Linotype"/>
          <w:color w:val="000000"/>
          <w:sz w:val="20"/>
          <w:szCs w:val="20"/>
          <w:lang w:val="en-US"/>
        </w:rPr>
        <w:t>Produksi autoantibodi, terutama jenis IgG, IgM, dan IgA, menurun dan mengikat antigen pada permukaan sel darah merah serta trombosit. Autoantibodi ini menandai sel-sel tersebut untuk dihancurkan. Pada sindrom Evans, yang merupakan kondisi autoimun kompleks, tipe anemia hemolitik autoimun (AIHA) yang paling sering ditemukan adalah tipe hangat, dengan sebagian besar kasus merupakan subtipe agglutinin hangat. Subtipe ini mencakup sekitar 80% kasus AIHA dan ditandai oleh kerusakan autoimun pada sel darah merah (RBC). Antibodi, terutama dari subkelas IgG, mengikat antigen pada permukaan RBC membentuk kompleks RBC-IgG yang berinteraksi dengan reseptor Fc pada permukaan sel sitotoksik. Agar terjadi fagositosis, beberapa interaksi RBC-IgG-Fc harus terjadi, dengan lokasi idealnya di sinusoid limpa, yang menyebabkan sekuestrasi limpa dan splenomegali. Sel darah merah yang mengalami fagositosis parsial akan berubah menjadi sferosit karena peningkatan rasio permukaan terhadap volume</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 xml:space="preserve">ADDIN CSL_CITATION {"citationItems":[{"id":"ITEM-1","itemData":{"ISSN":"20084595","abstract":"Redundant studies proved coronavirus infection results from a defect in a suitable immune response that may exacerbate immune-inflammatory reactions like cytokine storm and autoimmunity. Evans syndrome (ES) is a rare chronic autoimmune disease that distinguishes it from autoimmune hemolytic anemia (AIHA) and immune thrombocytopenic purpura (ITP). Reports have shown significant differences in immune cells and laboratory parameters in Evans syndrome/COVID-19 co-infected patients. Also, the contribution between autoimmune diseases and SARS-CoV-2 infection could result in immune response disequilibrium that considers a possible mechanism for ES development. Moreover, we will briefly explain the double-edged sword role of immunosuppressive drugs in Evans syndrome/ COVID-19 co-infected patients. Generally, the pathophysiology of SARS-CoV-2 in hematologic autoimmune disorders progression, particularly ES, remains unclear, but some investigations explain the COVID-19 infection mechanism in the mentioned disorders development. The purpose of the current study is to look at the coronavirus effects on Evans syndrome aggravation, the immune cells and laboratory markers alterations in Evans syndrome/COVID-19 co-infected patients, the coronavirus effects on Evans syndrome patients during their pregnancy, and the Evans syndrome / COVID-19 co-infected patient management.","author":[{"dropping-particle":"","family":"Fazeli","given":"Pooria","non-dropping-particle":"","parse-names":false,"suffix":""},{"dropping-particle":"","family":"Saeidnia","given":"Mohammadreza","non-dropping-particle":"","parse-names":false,"suffix":""},{"dropping-particle":"","family":"Nezhad","given":"Maryam Atefy","non-dropping-particle":"","parse-names":false,"suffix":""},{"dropping-particle":"","family":"Farzi","given":"Arghavan","non-dropping-particle":"","parse-names":false,"suffix":""},{"dropping-particle":"","family":"Pooresmaeil","given":"Navid","non-dropping-particle":"","parse-names":false,"suffix":""},{"dropping-particle":"","family":"Tamaddon","given":"Gholamhossein","non-dropping-particle":"","parse-names":false,"suffix":""}],"container-title":"Iranian Journal of Blood and Cancer","id":"ITEM-1","issue":"3","issued":{"date-parts":[["2022"]]},"page":"32-40","title":"Evans syndrome in the course of COVID-19 infection; essentials and approaches","type":"article-journal","volume":"14"},"uris":["http://www.mendeley.com/documents/?uuid=d15805f2-65af-49f2-9dea-021b10b17851","http://www.mendeley.com/documents/?uuid=9977a91c-8c42-472d-94d1-2afea88f8906"]},{"id":"ITEM-2","itemData":{"DOI":"10.1182/asheducation-2016.1.690","ISSN":"15204383","PMID":"27913548","abstract":"Autoimmune hemolytic anemia (AIHA) is a rare and heterogeneous disease that affects 1 to 3/100 000 patients per year. AIHA caused by warm autoantibodies (w-AIHA), ie, antibodies that react with their antigens on the red blood cell optimally at 37°C, is the most common type, comprising </w:instrText>
      </w:r>
      <w:r w:rsidR="00AE4DEC">
        <w:rPr>
          <w:rFonts w:ascii="Cambria Math" w:hAnsi="Cambria Math" w:cs="Cambria Math"/>
          <w:color w:val="000000"/>
          <w:sz w:val="20"/>
          <w:szCs w:val="20"/>
          <w:lang w:val="en-US"/>
        </w:rPr>
        <w:instrText>∼</w:instrText>
      </w:r>
      <w:r w:rsidR="00AE4DEC">
        <w:rPr>
          <w:rFonts w:ascii="Palatino Linotype" w:hAnsi="Palatino Linotype"/>
          <w:color w:val="000000"/>
          <w:sz w:val="20"/>
          <w:szCs w:val="20"/>
          <w:lang w:val="en-US"/>
        </w:rPr>
        <w:instrText xml:space="preserve">70% to 80% of all adult cases and </w:instrText>
      </w:r>
      <w:r w:rsidR="00AE4DEC">
        <w:rPr>
          <w:rFonts w:ascii="Cambria Math" w:hAnsi="Cambria Math" w:cs="Cambria Math"/>
          <w:color w:val="000000"/>
          <w:sz w:val="20"/>
          <w:szCs w:val="20"/>
          <w:lang w:val="en-US"/>
        </w:rPr>
        <w:instrText>∼</w:instrText>
      </w:r>
      <w:r w:rsidR="00AE4DEC">
        <w:rPr>
          <w:rFonts w:ascii="Palatino Linotype" w:hAnsi="Palatino Linotype"/>
          <w:color w:val="000000"/>
          <w:sz w:val="20"/>
          <w:szCs w:val="20"/>
          <w:lang w:val="en-US"/>
        </w:rPr>
        <w:instrText>50% of pediatric cases. About half of the w-AIHA cases are called primary because no specific etiology can be found, whereas the rest are secondary to other recognizable underlying disorders. This review will focus on the postulated immunopathogenetic mechanisms in idiopathic and secondary w-AIHA and report on the rare cases of direct antiglobulin test-negative AIHA, which are even more likely to be fatal because of inherent characteristics of the causative antibodies, as well as because of delays in diagnosis and initiation of appropriate treatment. Then, the characteristics of w-AIHA associated with genetically defined immune dysregulation disorders and special considerations on its management will be discussed. Finally, the standard treatment options and newer therapeutic approaches for this chronic autoimmune blood disorder will be reviewed.","author":[{"dropping-particle":"","family":"Kalfa","given":"Theodosia A.","non-dropping-particle":"","parse-names":false,"suffix":""}],"container-title":"Hematology (United States)","id":"ITEM-2","issue":"1","issued":{"date-parts":[["2016"]]},"page":"690-697","title":"Warm antibody autoimmune hemolytic anemia","type":"article-journal","volume":"2016"},"uris":["http://www.mendeley.com/documents/?uuid=8bbacd2e-e98c-4212-b655-a6c4f5c2d489","http://www.mendeley.com/documents/?uuid=d148b139-c13e-476b-9eb7-83835bff5869"]},{"id":"ITEM-3","itemData":{"DOI":"10.14740/jh222w","ISSN":"1927-1212","abstract":"Evans syndrome (ES) is a rare hematologic disorder characterized by the presence of Direct Antiglobulin test (DAT) positive autoimmune hemolytic anemia (AIHA), immune thrombocytopenia (ITP), and/or immune neutropenia. The risk of thrombosis has been well established in retrospective studies for ITP and AIHA; however, the risk of thrombosis in ES has been limited to case reports and individual case series. Whether the risk of thrombosis in ITP and AIHA is additive has not been well established, but preliminary observation suggests the rate of thrombosis is higher than the rate observed in ITP or AIHA individually. Furthermore, ES appears to be an underappreciated diagnosis. Anemia in the presence of ITP is often considered to be secondary to acute blood loss and a proper workup for hemolysis is often missed. Appropriate risk stratification of these patients is hindered by this lack of workup and many patients are unfortunately not treated appropriately and/or not offered appropriate prophylaxis for their level of thrombotic risk. The purpose of this case report is to not only increase the level of awareness among clinicians to initiate an appropriate diagnostic workup in patients presenting with anemia in the setting of ITP, but also to a heightened thrombotic risk warranting an appropriate thromboprophylaxis. This case also adds to the body of evidence that a “second- hit” phenomenon is often a precipitating cause for a thrombotic event.J Hematol. 2015;4(3):205-209doi: http://dx.doi.org/10.14740/jh222w","author":[{"dropping-particle":"","family":"Otaibi","given":"Zachary D.","non-dropping-particle":"","parse-names":false,"suffix":""},{"dropping-particle":"","family":"Rao","given":"Rohit","non-dropping-particle":"","parse-names":false,"suffix":""},{"dropping-particle":"","family":"Sadashiv","given":"Santhosh K.","non-dropping-particle":"","parse-names":false,"suffix":""}],"container-title":"Journal of Hematology","id":"ITEM-3","issue":"3","issued":{"date-parts":[["2015"]]},"page":"205-209","title":"A Case of Evans Syndrome: A Clinical Condition With Under-Recognized Thrombotic Risk","type":"article-journal","volume":"4"},"uris":["http://www.mendeley.com/documents/?uuid=ef3d9da9-f561-4eca-bb22-dd9d12d88579","http://www.mendeley.com/documents/?uuid=4bc1ae2f-f791-4778-a891-5656321d7052"]}],"mendeley":{"formattedCitation":"[12,16,17]","plainTextFormattedCitation":"[12,16,17]","previouslyFormattedCitation":"(12,16,17)"},"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[12,16,17]</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2791BB3B" w14:textId="1CC88C0B" w:rsidR="001B7A6A" w:rsidRDefault="001B7A6A" w:rsidP="001B7A6A">
      <w:pPr>
        <w:spacing w:after="0" w:line="240" w:lineRule="auto"/>
        <w:ind w:left="360" w:firstLine="349"/>
        <w:jc w:val="center"/>
      </w:pPr>
      <w:r>
        <w:lastRenderedPageBreak/>
        <w:fldChar w:fldCharType="begin"/>
      </w:r>
      <w:r>
        <w:instrText xml:space="preserve"> INCLUDEPICTURE "/Users/nanda/Library/Group Containers/UBF8T346G9.ms/WebArchiveCopyPasteTempFiles/com.microsoft.Word/bloodbook-2016-690-g002.jpg" \* MERGEFORMATINET </w:instrText>
      </w:r>
      <w:r>
        <w:fldChar w:fldCharType="separate"/>
      </w:r>
      <w:r>
        <w:drawing>
          <wp:inline distT="0" distB="0" distL="0" distR="0" wp14:anchorId="54B15205" wp14:editId="31A4635B">
            <wp:extent cx="3824464" cy="2454031"/>
            <wp:effectExtent l="0" t="0" r="0" b="0"/>
            <wp:docPr id="1501447547" name="Picture 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2912" cy="2459452"/>
                    </a:xfrm>
                    <a:prstGeom prst="rect">
                      <a:avLst/>
                    </a:prstGeom>
                    <a:noFill/>
                    <a:ln>
                      <a:noFill/>
                    </a:ln>
                  </pic:spPr>
                </pic:pic>
              </a:graphicData>
            </a:graphic>
          </wp:inline>
        </w:drawing>
      </w:r>
      <w:r>
        <w:fldChar w:fldCharType="end"/>
      </w:r>
    </w:p>
    <w:p w14:paraId="3AB8472F" w14:textId="1BB995CD" w:rsidR="001B7A6A" w:rsidRPr="000E3166" w:rsidRDefault="001B7A6A" w:rsidP="001B7A6A">
      <w:pPr>
        <w:spacing w:after="0" w:line="240" w:lineRule="auto"/>
        <w:ind w:left="360" w:firstLine="349"/>
        <w:jc w:val="center"/>
        <w:rPr>
          <w:rFonts w:ascii="Palatino Linotype" w:hAnsi="Palatino Linotype"/>
          <w:bCs/>
          <w:color w:val="000000"/>
          <w:sz w:val="20"/>
          <w:szCs w:val="20"/>
          <w:lang w:val="sv-SE"/>
        </w:rPr>
      </w:pPr>
      <w:r w:rsidRPr="000E3166">
        <w:rPr>
          <w:b/>
          <w:sz w:val="20"/>
          <w:lang w:val="sv-SE"/>
        </w:rPr>
        <w:t xml:space="preserve">Gambar 1. </w:t>
      </w:r>
      <w:r w:rsidRPr="000E3166">
        <w:rPr>
          <w:bCs/>
          <w:sz w:val="20"/>
          <w:lang w:val="sv-SE"/>
        </w:rPr>
        <w:t xml:space="preserve">Patofisiologi AIHA tipe hangat </w:t>
      </w:r>
      <w:r>
        <w:rPr>
          <w:bCs/>
          <w:sz w:val="20"/>
        </w:rPr>
        <w:fldChar w:fldCharType="begin" w:fldLock="1"/>
      </w:r>
      <w:r w:rsidR="00AE4DEC">
        <w:rPr>
          <w:bCs/>
          <w:sz w:val="20"/>
          <w:lang w:val="sv-SE"/>
        </w:rPr>
        <w:instrText xml:space="preserve">ADDIN CSL_CITATION {"citationItems":[{"id":"ITEM-1","itemData":{"DOI":"10.1182/asheducation-2016.1.690","ISSN":"15204383","PMID":"27913548","abstract":"Autoimmune hemolytic anemia (AIHA) is a rare and heterogeneous disease that affects 1 to 3/100 000 patients per year. AIHA caused by warm autoantibodies (w-AIHA), ie, antibodies that react with their antigens on the red blood cell optimally at 37°C, is the most common type, comprising </w:instrText>
      </w:r>
      <w:r w:rsidR="00AE4DEC">
        <w:rPr>
          <w:rFonts w:ascii="Cambria Math" w:hAnsi="Cambria Math" w:cs="Cambria Math"/>
          <w:bCs/>
          <w:sz w:val="20"/>
          <w:lang w:val="sv-SE"/>
        </w:rPr>
        <w:instrText>∼</w:instrText>
      </w:r>
      <w:r w:rsidR="00AE4DEC">
        <w:rPr>
          <w:bCs/>
          <w:sz w:val="20"/>
          <w:lang w:val="sv-SE"/>
        </w:rPr>
        <w:instrText xml:space="preserve">70% to 80% of all adult cases and </w:instrText>
      </w:r>
      <w:r w:rsidR="00AE4DEC">
        <w:rPr>
          <w:rFonts w:ascii="Cambria Math" w:hAnsi="Cambria Math" w:cs="Cambria Math"/>
          <w:bCs/>
          <w:sz w:val="20"/>
          <w:lang w:val="sv-SE"/>
        </w:rPr>
        <w:instrText>∼</w:instrText>
      </w:r>
      <w:r w:rsidR="00AE4DEC">
        <w:rPr>
          <w:bCs/>
          <w:sz w:val="20"/>
          <w:lang w:val="sv-SE"/>
        </w:rPr>
        <w:instrText>50% of pediatric cases. About half of the w-AIHA cases are called primary because no specific etiology can be found, whereas the rest are secondary to other recognizable underlying disorders. This review will focus on the postulated immunopathogenetic mechanisms in idiopathic and secondary w-AIHA and report on the rare cases of direct antiglobulin test-negative AIHA, which are even more likely to be fatal because of inherent characteristics of the causative antibodies, as well as because of delays in diagnosis and initiation of appropriate treatment. Then, the characteristics of w-AIHA associated with genetically defined immune dysregulation disorders and special considerations on its management will be discussed. Finally, the standard treatment options and newer therapeutic approaches for this chronic autoimmune blood disorder will be reviewed.","author":[{"dropping-particle":"","family":"Kalfa","given":"Theodosia A.","non-dropping-particle":"","parse-names":false,"suffix":""}],"container-title":"Hematology (United States)","id":"ITEM-1","issue":"1","issued":{"date-parts":[["2016"]]},"page":"690-697","title":"Warm antibody autoimmune hemolytic anemia","type":"article-journal","volume":"2016"},"uris":["http://www.mendeley.com/documents/?uuid=d148b139-c13e-476b-9eb7-83835bff5869","http://www.mendeley.com/documents/?uuid=8bbacd2e-e98c-4212-b655-a6c4f5c2d489"]}],"mendeley":{"formattedCitation":"[17]","plainTextFormattedCitation":"[17]","previouslyFormattedCitation":"(17)"},"properties":{"noteIndex":0},"schema":"https://github.com/citation-style-language/schema/raw/master/csl-citation.json"}</w:instrText>
      </w:r>
      <w:r>
        <w:rPr>
          <w:bCs/>
          <w:sz w:val="20"/>
        </w:rPr>
        <w:fldChar w:fldCharType="separate"/>
      </w:r>
      <w:r w:rsidR="00AE4DEC" w:rsidRPr="00AE4DEC">
        <w:rPr>
          <w:bCs/>
          <w:sz w:val="20"/>
          <w:lang w:val="sv-SE"/>
        </w:rPr>
        <w:t>[17]</w:t>
      </w:r>
      <w:r>
        <w:rPr>
          <w:bCs/>
          <w:sz w:val="20"/>
        </w:rPr>
        <w:fldChar w:fldCharType="end"/>
      </w:r>
    </w:p>
    <w:p w14:paraId="333D2249" w14:textId="1BE61308" w:rsidR="00C54D8C" w:rsidRDefault="001B7A6A" w:rsidP="001B7A6A">
      <w:pPr>
        <w:spacing w:after="0" w:line="240" w:lineRule="auto"/>
        <w:ind w:left="360" w:firstLine="349"/>
        <w:jc w:val="both"/>
        <w:rPr>
          <w:rFonts w:ascii="Palatino Linotype" w:hAnsi="Palatino Linotype"/>
          <w:color w:val="000000"/>
          <w:sz w:val="20"/>
          <w:szCs w:val="20"/>
          <w:lang w:val="en-US"/>
        </w:rPr>
      </w:pPr>
      <w:r w:rsidRPr="000E3166">
        <w:rPr>
          <w:rFonts w:ascii="Palatino Linotype" w:hAnsi="Palatino Linotype"/>
          <w:color w:val="000000"/>
          <w:sz w:val="20"/>
          <w:szCs w:val="20"/>
          <w:lang w:val="sv-SE"/>
        </w:rPr>
        <w:t>Antibodi yang ditemukan pada ES (</w:t>
      </w:r>
      <w:r w:rsidRPr="000E3166">
        <w:rPr>
          <w:rFonts w:ascii="Palatino Linotype" w:hAnsi="Palatino Linotype"/>
          <w:i/>
          <w:iCs/>
          <w:color w:val="000000"/>
          <w:sz w:val="20"/>
          <w:szCs w:val="20"/>
          <w:lang w:val="sv-SE"/>
        </w:rPr>
        <w:t>Evans Syndrome</w:t>
      </w:r>
      <w:r w:rsidRPr="000E3166">
        <w:rPr>
          <w:rFonts w:ascii="Palatino Linotype" w:hAnsi="Palatino Linotype"/>
          <w:color w:val="000000"/>
          <w:sz w:val="20"/>
          <w:szCs w:val="20"/>
          <w:lang w:val="sv-SE"/>
        </w:rPr>
        <w:t>) dan ITP (</w:t>
      </w:r>
      <w:r w:rsidRPr="000E3166">
        <w:rPr>
          <w:rFonts w:ascii="Palatino Linotype" w:hAnsi="Palatino Linotype"/>
          <w:i/>
          <w:iCs/>
          <w:color w:val="000000"/>
          <w:sz w:val="20"/>
          <w:szCs w:val="20"/>
          <w:lang w:val="sv-SE"/>
        </w:rPr>
        <w:t>Idiopathic Thrombocytopenic Purpura</w:t>
      </w:r>
      <w:r w:rsidRPr="000E3166">
        <w:rPr>
          <w:rFonts w:ascii="Palatino Linotype" w:hAnsi="Palatino Linotype"/>
          <w:color w:val="000000"/>
          <w:sz w:val="20"/>
          <w:szCs w:val="20"/>
          <w:lang w:val="sv-SE"/>
        </w:rPr>
        <w:t>) berbeda dengan autoantibodi yang terlihat pada AIHA (</w:t>
      </w:r>
      <w:r w:rsidRPr="000E3166">
        <w:rPr>
          <w:rFonts w:ascii="Palatino Linotype" w:hAnsi="Palatino Linotype"/>
          <w:i/>
          <w:iCs/>
          <w:color w:val="000000"/>
          <w:sz w:val="20"/>
          <w:szCs w:val="20"/>
          <w:lang w:val="sv-SE"/>
        </w:rPr>
        <w:t>Autoimmune Hemolytic Anemia</w:t>
      </w:r>
      <w:r w:rsidRPr="000E3166">
        <w:rPr>
          <w:rFonts w:ascii="Palatino Linotype" w:hAnsi="Palatino Linotype"/>
          <w:color w:val="000000"/>
          <w:sz w:val="20"/>
          <w:szCs w:val="20"/>
          <w:lang w:val="sv-SE"/>
        </w:rPr>
        <w:t xml:space="preserve">). Pada ITP, autoantibodi yang terlibat adalah IgG yang ditujukan terhadap glikoprotein pada permukaan trombosit. Salah satu target yang paling umum adalah glikoprotein GPIIb/IIIa. Autoantibodi ini mengikat glikoprotein tersebut, sehingga menyebabkan kerusakan dini dan penurunan masa hidup trombosit. Pengikatan autoantibodi IgG pada glikoprotein permukaan trombosit (misalnya GPIIb/IIIa dan GPIb/IX) memicu peningkatan penghancuran trombosit oleh makrofag, terutama di limpa. Selain itu, proses ini juga mengganggu produksi trombosit oleh megakariosit, yaitu sel prekursor trombosit di sumsum tulang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{"citationItems":[{"id":"ITEM-1","itemData":{"DOI":"10.3324/haematol.2023.283874","ISSN":"15928721","PMID":"38299614","abstract":"Breakthrough treatment for refractory and relapsed immune thrombocytopenia (ITP) patients is urgently needed. Autoantibody-mediated platelet clearance and megakaryocyte dysfunction are important pathogenic mediators of ITP. Glycoprotein (GP) Ibα is a significant autoantigen found in ITP patients and is associated with poor response to standard immunosuppressive treatments. Here, we engineered human T cells to express a chimeric autoantibody receptor (CAAR) with GPIbα constructed into the ligand-binding domain fused to the CD8 transmembrane domain and CD3ζ-4-1BB signaling domains. We performed cytotoxicity assays to assess GPIbα CAAR T-cell selective cytolysis of cells expressing anti-GPIbα B-cell receptors in vitro. Furthermore, we demonstrated the potential of GPIbα CAAR T cells to persist and precisely eliminate GPIbα-specific B cells in vivo. In summary, we present a proof of concept for CAAR T-cell therapy to eradicate autoimmune B cells while sparing healthy B cells with GPIbα CAAR T cells that function like a Trojan horse. GPIbα CAAR T-cell therapy is a promising treatment for refractory and relapsed ITP patients.","author":[{"dropping-particle":"","family":"Zhou","given":"Jie","non-dropping-particle":"","parse-names":false,"suffix":""},{"dropping-particle":"","family":"Xu","given":"Yanyan","non-dropping-particle":"","parse-names":false,"suffix":""},{"dropping-particle":"","family":"Shu","given":"Jinhui","non-dropping-particle":"","parse-names":false,"suffix":""},{"dropping-particle":"","family":"Jiang","given":"Haojie","non-dropping-particle":"","parse-names":false,"suffix":""},{"dropping-particle":"","family":"Huang","given":"Linlin","non-dropping-particle":"","parse-names":false,"suffix":""},{"dropping-particle":"","family":"Xu","given":"Min","non-dropping-particle":"","parse-names":false,"suffix":""},{"dropping-particle":"","family":"Liu","given":"Junling","non-dropping-particle":"","parse-names":false,"suffix":""},{"dropping-particle":"","family":"Hu","given":"Yu","non-dropping-particle":"","parse-names":false,"suffix":""},{"dropping-particle":"","family":"Mei","given":"Heng","non-dropping-particle":"","parse-names":false,"suffix":""}],"container-title":"Haematologica","id":"ITEM-1","issue":"7","issued":{"date-parts":[["2024"]]},"page":"2256-2270","title":"GPIbα CAAR T cells function like a Trojan horse to eliminate autoreactive B cells to treat immune thrombocytopenia","type":"article-journal","volume":"109"},"uris":["http://www.mendeley.com/documents/?uuid=76a19269-e9a8-47b8-a416-f6e61caaa82d","http://www.mendeley.com/documents/?uuid=9d771614-0dc4-40c3-a1a0-cd822025bd82"]}],"mendeley":{"formattedCitation":"[18]","plainTextFormattedCitation":"[18]","previouslyFormattedCitation":"(18)"},"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[18]</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047227C0" w14:textId="2A6BAE6B" w:rsidR="001B7A6A" w:rsidRDefault="001B7A6A" w:rsidP="001B7A6A">
      <w:pPr>
        <w:spacing w:after="0" w:line="240" w:lineRule="auto"/>
        <w:ind w:left="360" w:firstLine="349"/>
        <w:jc w:val="center"/>
        <w:rPr>
          <w:rFonts w:ascii="Palatino Linotype" w:hAnsi="Palatino Linotype"/>
          <w:color w:val="000000"/>
          <w:sz w:val="20"/>
          <w:szCs w:val="20"/>
          <w:lang w:val="en-US"/>
        </w:rPr>
      </w:pPr>
      <w:r>
        <w:rPr>
          <w:rFonts w:ascii="Times New Roman" w:hAnsi="Times New Roman" w:cs="Times New Roman"/>
          <w:bCs/>
          <w:sz w:val="24"/>
          <w:szCs w:val="24"/>
        </w:rPr>
        <w:drawing>
          <wp:inline distT="0" distB="0" distL="0" distR="0" wp14:anchorId="000F0528" wp14:editId="3B975A60">
            <wp:extent cx="2227288" cy="2172081"/>
            <wp:effectExtent l="0" t="0" r="0" b="0"/>
            <wp:docPr id="21903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3819" name="Picture 219038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2229" cy="2206156"/>
                    </a:xfrm>
                    <a:prstGeom prst="rect">
                      <a:avLst/>
                    </a:prstGeom>
                  </pic:spPr>
                </pic:pic>
              </a:graphicData>
            </a:graphic>
          </wp:inline>
        </w:drawing>
      </w:r>
    </w:p>
    <w:p w14:paraId="2EB83DC1" w14:textId="1D865038" w:rsidR="001B7A6A" w:rsidRDefault="001B7A6A" w:rsidP="001B7A6A">
      <w:pPr>
        <w:spacing w:after="0" w:line="240" w:lineRule="auto"/>
        <w:ind w:left="360" w:firstLine="349"/>
        <w:jc w:val="center"/>
        <w:rPr>
          <w:bCs/>
          <w:sz w:val="20"/>
        </w:rPr>
      </w:pPr>
      <w:r>
        <w:rPr>
          <w:b/>
          <w:sz w:val="20"/>
        </w:rPr>
        <w:t>Gambar</w:t>
      </w:r>
      <w:r w:rsidRPr="00D35F6D">
        <w:rPr>
          <w:b/>
          <w:sz w:val="20"/>
        </w:rPr>
        <w:t xml:space="preserve"> </w:t>
      </w:r>
      <w:r w:rsidR="000C4A43">
        <w:rPr>
          <w:b/>
          <w:sz w:val="20"/>
        </w:rPr>
        <w:t>2</w:t>
      </w:r>
      <w:r>
        <w:rPr>
          <w:b/>
          <w:sz w:val="20"/>
        </w:rPr>
        <w:t xml:space="preserve">. </w:t>
      </w:r>
      <w:r>
        <w:rPr>
          <w:bCs/>
          <w:sz w:val="20"/>
        </w:rPr>
        <w:t xml:space="preserve">Patofisiologi ITP </w:t>
      </w:r>
      <w:r>
        <w:rPr>
          <w:bCs/>
          <w:sz w:val="20"/>
        </w:rPr>
        <w:fldChar w:fldCharType="begin" w:fldLock="1"/>
      </w:r>
      <w:r w:rsidR="00AE4DEC">
        <w:rPr>
          <w:bCs/>
          <w:sz w:val="20"/>
        </w:rPr>
        <w:instrText>ADDIN CSL_CITATION {"citationItems":[{"id":"ITEM-1","itemData":{"DOI":"10.1007/978-3-319-73269-5_2","ISBN":"9783319732695","author":[{"dropping-particle":"","family":"Kim","given":"Taylor Olmsted","non-dropping-particle":"","parse-names":false,"suffix":""}],"container-title":"Immune Hematology: Diagnosis and Management of Autoimmune Cytopenias","id":"ITEM-1","issued":{"date-parts":[["2018"]]},"number-of-pages":"17-33","title":"Pathophysiology of immune thrombocytopenia","type":"book"},"uris":["http://www.mendeley.com/documents/?uuid=5db4ecde-991f-4771-bb35-a9e8f49b8059","http://www.mendeley.com/documents/?uuid=68b419a8-9e7a-4117-8229-4777d43fda56"]}],"mendeley":{"formattedCitation":"[13]","plainTextFormattedCitation":"[13]","previouslyFormattedCitation":"(13)"},"properties":{"noteIndex":0},"schema":"https://github.com/citation-style-language/schema/raw/master/csl-citation.json"}</w:instrText>
      </w:r>
      <w:r>
        <w:rPr>
          <w:bCs/>
          <w:sz w:val="20"/>
        </w:rPr>
        <w:fldChar w:fldCharType="separate"/>
      </w:r>
      <w:r w:rsidR="00AE4DEC" w:rsidRPr="00AE4DEC">
        <w:rPr>
          <w:bCs/>
          <w:sz w:val="20"/>
        </w:rPr>
        <w:t>[13]</w:t>
      </w:r>
      <w:r>
        <w:rPr>
          <w:bCs/>
          <w:sz w:val="20"/>
        </w:rPr>
        <w:fldChar w:fldCharType="end"/>
      </w:r>
      <w:r>
        <w:rPr>
          <w:bCs/>
          <w:sz w:val="20"/>
        </w:rPr>
        <w:t xml:space="preserve">. </w:t>
      </w:r>
    </w:p>
    <w:p w14:paraId="5561F84C" w14:textId="3EA4C975" w:rsidR="005F1897" w:rsidRPr="005F1897" w:rsidRDefault="005F1897" w:rsidP="005F1897">
      <w:pPr>
        <w:pStyle w:val="ListParagraph"/>
        <w:numPr>
          <w:ilvl w:val="0"/>
          <w:numId w:val="42"/>
        </w:num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t>Diagnosa sindrom Evans</w:t>
      </w:r>
    </w:p>
    <w:p w14:paraId="5DAAF0BB" w14:textId="51DAFB5E" w:rsidR="00CB1C00" w:rsidRDefault="00CB1C00" w:rsidP="00CB1C00">
      <w:pPr>
        <w:spacing w:after="0" w:line="240" w:lineRule="auto"/>
        <w:ind w:left="360" w:firstLine="349"/>
        <w:jc w:val="both"/>
        <w:rPr>
          <w:rFonts w:ascii="Palatino Linotype" w:hAnsi="Palatino Linotype"/>
          <w:color w:val="000000"/>
          <w:sz w:val="20"/>
          <w:szCs w:val="20"/>
          <w:lang w:val="en-US"/>
        </w:rPr>
      </w:pPr>
      <w:r w:rsidRPr="00CB1C00">
        <w:rPr>
          <w:rFonts w:ascii="Palatino Linotype" w:hAnsi="Palatino Linotype"/>
          <w:color w:val="000000"/>
          <w:sz w:val="20"/>
          <w:szCs w:val="20"/>
          <w:lang w:val="en-US"/>
        </w:rPr>
        <w:t>Pasien dengan sindrom Evans dapat mengalami anemia hemolitik autoimun (AIHA) dan trombositopenia imun (ITP) secara terpisah maupun bersamaan. Neutropenia ditemukan pada sekitar 55% pasien saat pertama kali datang. Perkembangan sitopenia kedua dapat terjadi beberapa bulan hingga beberapa tahun setelah sitopenia pertama, yang berpotensi menunda diagnosis (Norton dan Alice). Diagnosis awal dilakukan melalui riwayat klinis lengkap untuk mengidentifikasi faktor risiko pengembangan sindrom Evans, seperti infeksi, keganasan, penyakit autoimun, vaksinasi terbaru, penggunaan obat, atau riwayat keluarga dengan gangguan imun. Pemeriksaan fisik menyeluruh difokuskan pada tanda-tanda anemia dan trombositopenia</w:t>
      </w:r>
      <w:r>
        <w:rPr>
          <w:rFonts w:ascii="Palatino Linotype" w:hAnsi="Palatino Linotype"/>
          <w:color w:val="000000"/>
          <w:sz w:val="20"/>
          <w:szCs w:val="20"/>
          <w:lang w:val="en-US"/>
        </w:rPr>
        <w:t xml:space="preserve">. </w:t>
      </w:r>
      <w:r w:rsidRPr="00CB1C00">
        <w:rPr>
          <w:rFonts w:ascii="Palatino Linotype" w:hAnsi="Palatino Linotype"/>
          <w:color w:val="000000"/>
          <w:sz w:val="20"/>
          <w:szCs w:val="20"/>
          <w:lang w:val="en-US"/>
        </w:rPr>
        <w:t xml:space="preserve">Penting untuk menyingkirkan gangguan lain yang dapat menyebabkan sitopenia agar tidak mengganggu diagnosis, seperti lupus eritematosus sistemik (SLE), purpura trombotik trombositopenik (TTP), displasia sumsum tulang, sindrom limfohiperplastik, infeksi virus, defisiensi imun seperti common variable immunodeficiency (CVID) dan defisiensi IgA, acquired immunodeficiency syndrome (AIDS), serta sindrom limfoproliferatif autoimun (ALPS). Sindrom Evans memiliki lima gejala klinis utama, yaitu trombositopenia, anemia hemolitik mikrovaskular, penyakit ginjal, demam, dan defisiensi neurologis. Namun, kurang dari 35% pasien </w:t>
      </w:r>
      <w:r w:rsidRPr="00CB1C00">
        <w:rPr>
          <w:rFonts w:ascii="Palatino Linotype" w:hAnsi="Palatino Linotype"/>
          <w:color w:val="000000"/>
          <w:sz w:val="20"/>
          <w:szCs w:val="20"/>
          <w:lang w:val="en-US"/>
        </w:rPr>
        <w:lastRenderedPageBreak/>
        <w:t>menunjukkan semua gejala tersebut secara bersamaan. Beberapa pasien hanya mengalami trombositopenia dan anemia hemolitik autoimun tanpa gejala lain, sehingga diagnosis harus dilakukan dengan cermat dan menyeluruh</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{"citationItems":[{"id":"ITEM-1","itemData":{"DOI":"10.1111/j.1365-2141.2005.05809.x","ISSN":"00071048","PMID":"16398647","abstract":"Evans syndrome is an uncommon condition defined by the combination (either simultaneously or sequentially) of immune thrombocytopenia (ITP) and autoimmune haemolytic anaemia (AIHA) with a positive direct antiglobulin test (DAT) in the absence of known underlying aetiology. This condition generally runs a chronic course and is characterised by frequent exacerbations and remissions. First-line therapy is usually corticosteroids and/or intravenous immunoglobulin, to which most patients respond; however, relapse is frequent. Options for second-line therapy include immunosuppressive drugs, especially ciclosporin or mycophenolate mofetil; vincristine; danazol or a combination of these agents. More recently a small number of patients have been treated with rituximab, which induces remission in the majority although such responses are often sustained for &lt;12 months and the long-term effects in children are unclear. Splenectomy may also be considered although long-term remissions are less frequent than in uncomplicated ITP. For very severe and refractory cases stem cell transplantation (SCT) offers the only chance of long-term cure. The limited data available suggest that allogeneic SCT may be superior to autologous SCT but both carry risks of severe morbidity and of transplant-related mortality. Cure following reduced-intensity conditioning has now been reported and should be considered for younger patients in the context of controlled clinical trials. © 2005 Blackwell Publishing Ltd.","author":[{"dropping-particle":"","family":"Norton","given":"Alice","non-dropping-particle":"","parse-names":false,"suffix":""},{"dropping-particle":"","family":"Roberts","given":"Irene","non-dropping-particle":"","parse-names":false,"suffix":""}],"container-title":"British Journal of Haematology","id":"ITEM-1","issue":"2","issued":{"date-parts":[["2006"]]},"page":"125-137","title":"Management of Evans syndrome","type":"article-journal","volume":"132"},"uris":["http://www.mendeley.com/documents/?uuid=1e811a28-48b4-4bc7-b8ab-a0856ed2036a","http://www.mendeley.com/documents/?uuid=5dfad90c-80b1-4122-88fe-26a3116b5e10"]}],"mendeley":{"formattedCitation":"[19]","plainTextFormattedCitation":"[19]","previouslyFormattedCitation":"(19)"},"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[19]</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3D36EDF8" w14:textId="6AF3E20E" w:rsidR="00CB1C00" w:rsidRDefault="00CB1C00" w:rsidP="00CB1C00">
      <w:pPr>
        <w:spacing w:after="0" w:line="240" w:lineRule="auto"/>
        <w:ind w:left="360" w:firstLine="349"/>
        <w:jc w:val="both"/>
        <w:rPr>
          <w:rFonts w:ascii="Palatino Linotype" w:hAnsi="Palatino Linotype"/>
          <w:color w:val="000000"/>
          <w:sz w:val="20"/>
          <w:szCs w:val="20"/>
          <w:lang w:val="en-US"/>
        </w:rPr>
      </w:pPr>
      <w:r w:rsidRPr="00CB1C00">
        <w:rPr>
          <w:rFonts w:ascii="Palatino Linotype" w:hAnsi="Palatino Linotype"/>
          <w:color w:val="000000"/>
          <w:sz w:val="20"/>
          <w:szCs w:val="20"/>
          <w:lang w:val="en-US"/>
        </w:rPr>
        <w:t>Karakterisasi laboratorium pada pasien dengan sindrom Evans meliputi pemeriksaan hitung darah lengkap dan apusan darah tepi yang menunjukkan anemia, trombositopenia, retikulositosis, dan poikilositosis. Ciri khas anemia hemolitik autoimun (AIHA) adalah adanya sferosit, polikromasia, peningkatan bilirubin tidak langsung, serta peningkatan enzim dehidrogenase laktat (LDH). Tes Coombs langsung (direct antiglobulin test/DAT) yang positif mengonfirmasi adanya proses imun yang sedang berlangsung, yaitu antibodi yang menyerang sel darah merah. Pemeriksaan fisik juga dapat menemukan limfadenopati, hepatomegali, dan/atau splenomegali, yang dapat bersifat kronis, intermiten, atau muncul saat eksaserbasi akut. Tidak ada tes khusus untuk sindrom Evans; diagnosis ditegakkan setelah menyingkirkan kemungkinan diagnosis lain. Diagnosis sindrom Evans ditegakkan bila anemia hemolitik autoimun (dengan tes Coombs langsung positif) dan trombositopenia (ITP) terjadi pada pasien yang sama, walaupun tidak harus bersamaan. Evaluasi ciri-ciri hemolisis perlu dilakukan lebih lanjut untuk memastikan diagnosis, termasuk pemeriksaan laboratorium tambahan seperti peningkatan retikulosit, penurunan haptoglobin, dan pemeriksaan kimia klinik lainnya. Penegakan diagnosis juga melibatkan pemeriksaan fisik dan riwayat medis untuk menyingkirkan penyakit lain yang dapat menimbulkan gambaran serupa</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{"citationItems":[{"id":"ITEM-1","itemData":{"DOI":"10.11604/pamj.2021.38.314.22410","ISSN":"19378688","PMID":"34285737","abstract":"This manuscript concerns the case of a patient hospitalized and diagnosed with Evans syndrome. She was hospitalized with signs of thrombocytopenia induced purpura, petechiae, ecchymosis and anemia. She was successfully treated with corticoids and blood transfusions. Our purpose is to explain her clinical presentation and the exams, we used in order to make the diagnosis of Evans syndrome, which requires great suspicion. Moreover, other diseases causing hemolytic anemia and thrombocytopenia must be excluded. We used laboratory tests (blood samples, Coombs examination and virologic test). Bone marrow examination took place twice. Evans syndrome is an autoimmune disease which is characterized by the coexistence of hemolytic anemia and immune-mediated thrombocytopenia. There is no typical clinical presentation. Its etiology is unknown and its therapy is generally poor. Diagnosis of Evans syndrome is very difficult and requires the exclusion of other diseases causing anemia and thrombocytopenia.","author":[{"dropping-particle":"","family":"Angelopoulos","given":"Andreas","non-dropping-particle":"","parse-names":false,"suffix":""},{"dropping-particle":"","family":"Kirkilesis","given":"George","non-dropping-particle":"","parse-names":false,"suffix":""},{"dropping-particle":"","family":"Kakavia","given":"Kiriaki","non-dropping-particle":"","parse-names":false,"suffix":""},{"dropping-particle":"","family":"Papanikolaou","given":"Paraskevi","non-dropping-particle":"","parse-names":false,"suffix":""}],"container-title":"Pan African Medical Journal","id":"ITEM-1","issued":{"date-parts":[["2021"]]},"title":"Diagnosis of evans syndrome","type":"article-journal","volume":"38"},"uris":["http://www.mendeley.com/documents/?uuid=a8b4400b-776e-453b-bbb9-d3fe94fea390","http://www.mendeley.com/documents/?uuid=0740093b-6b7d-4477-a400-2bf9621d91ef"]},{"id":"ITEM-2","itemData":{"DOI":"10.1111/j.1365-2141.2005.05809.x","ISSN":"00071048","PMID":"16398647","abstract":"Evans syndrome is an uncommon condition defined by the combination (either simultaneously or sequentially) of immune thrombocytopenia (ITP) and autoimmune haemolytic anaemia (AIHA) with a positive direct antiglobulin test (DAT) in the absence of known underlying aetiology. This condition generally runs a chronic course and is characterised by frequent exacerbations and remissions. First-line therapy is usually corticosteroids and/or intravenous immunoglobulin, to which most patients respond; however, relapse is frequent. Options for second-line therapy include immunosuppressive drugs, especially ciclosporin or mycophenolate mofetil; vincristine; danazol or a combination of these agents. More recently a small number of patients have been treated with rituximab, which induces remission in the majority although such responses are often sustained for &lt;12 months and the long-term effects in children are unclear. Splenectomy may also be considered although long-term remissions are less frequent than in uncomplicated ITP. For very severe and refractory cases stem cell transplantation (SCT) offers the only chance of long-term cure. The limited data available suggest that allogeneic SCT may be superior to autologous SCT but both carry risks of severe morbidity and of transplant-related mortality. Cure following reduced-intensity conditioning has now been reported and should be considered for younger patients in the context of controlled clinical trials. © 2005 Blackwell Publishing Ltd.","author":[{"dropping-particle":"","family":"Norton","given":"Alice","non-dropping-particle":"","parse-names":false,"suffix":""},{"dropping-particle":"","family":"Roberts","given":"Irene","non-dropping-particle":"","parse-names":false,"suffix":""}],"container-title":"British Journal of Haematology","id":"ITEM-2","issue":"2","issued":{"date-parts":[["2006"]]},"page":"125-137","title":"Management of Evans syndrome","type":"article-journal","volume":"132"},"uris":["http://www.mendeley.com/documents/?uuid=5dfad90c-80b1-4122-88fe-26a3116b5e10","http://www.mendeley.com/documents/?uuid=1e811a28-48b4-4bc7-b8ab-a0856ed2036a"]},{"id":"ITEM-3","itemData":{"DOI":"10.2147/JBM.S176144","ISSN":"11792736","PMID":"30349415","abstract":"Evans syndrome (ES) is a rare and chronic autoimmune disease characterized by autoimmune hemolytic anemia and immune thrombocytopenic purpura with a positive direct anti-human globulin test. It is classified as primary and secondary, with the frequency in patients with autoimmune hemolytic anemia being 37%–73%. It predominates in children, mainly due to primary immunodeficiencies or autoimmune lymphoproliferative syndrome. ES during pregnancy is associated with high fetal morbidity, including severe hemolysis and intracranial bleeding with neurological sequelae and death. The clinical presentation can include fatigue, pallor, jaundice and mucosal bleeding, with remissions and exacerbations during the person’s lifetime, and acute manifestations as catastrophic bleeding and massive hemolysis. Recent molecular theories explaining the physiopathology of ES include deficiencies of CTLA-4, LRBA, TPP2 and a decreased CD4/CD8 ratio. As in other autoimmune cytopenias, there is no established evidence-based treatment and steroids are the first-line therapy, with intravenous immunoglobulin administered as a life-saving resource in cases of severe immune thrombocytopenic purpura manifestations. Second-line treatment for refractory ES includes rituximab, mofetil mycophenolate, cyclosporine, vincristine, azathioprine, sirolimus and thrombopoietin receptor agonists. In cases unresponsive to immunosuppressive agents, hematopoietic stem cell transplantation has been successful, although it is necessary to consider its potential serious adverse effects. In conclusion, ES is a disease with a heterogeneous course that remains challenging to patients and physicians, with prospective clinical trials needed to explore potential targeted therapy to achieve an improved long-term response or even a cure.","author":[{"dropping-particle":"","family":"Jaime-Pérez","given":"José Carlos","non-dropping-particle":"","parse-names":false,"suffix":""},{"dropping-particle":"","family":"Elva","given":"Patrizia","non-dropping-particle":"","parse-names":false,"suffix":""},{"dropping-particle":"","family":"Aguilar-Calderón","given":"","non-dropping-particle":"","parse-names":false,"suffix":""},{"dropping-particle":"","family":"Salazar-Cavazos","given":"Lorena","non-dropping-particle":"","parse-names":false,"suffix":""},{"dropping-particle":"","family":"Gómez-Almaguer","given":"David","non-dropping-particle":"","parse-names":false,"suffix":""}],"container-title":"Journal of Blood Medicine","id":"ITEM-3","issued":{"date-parts":[["2018"]]},"page":"171-184","title":"Evans syndrome: Clinical perspectives, biological insights and treatment modalities","type":"article-journal","volume":"9"},"uris":["http://www.mendeley.com/documents/?uuid=761b199c-2af2-4eb5-bcd8-3e906bcd2a66","http://www.mendeley.com/documents/?uuid=ccfdb421-1aec-4488-bbe0-83dd784ef9a3","http://www.mendeley.com/documents/?uuid=89e64884-7e21-481a-b663-28b95db2f346"]}],"mendeley":{"formattedCitation":"[1,19,20]","plainTextFormattedCitation":"[1,19,20]","previouslyFormattedCitation":"(1,19,20)"},"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[1,19,20]</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027DDBCE" w14:textId="6BEC2D5E" w:rsidR="00DE3027" w:rsidRDefault="00DE3027" w:rsidP="00CB1C00">
      <w:pPr>
        <w:spacing w:after="0" w:line="240" w:lineRule="auto"/>
        <w:ind w:left="360" w:firstLine="349"/>
        <w:jc w:val="both"/>
        <w:rPr>
          <w:rFonts w:ascii="Palatino Linotype" w:hAnsi="Palatino Linotype"/>
          <w:color w:val="000000"/>
          <w:sz w:val="20"/>
          <w:szCs w:val="20"/>
          <w:lang w:val="en-US"/>
        </w:rPr>
      </w:pPr>
      <w:r w:rsidRPr="00DE3027">
        <w:rPr>
          <w:rFonts w:ascii="Palatino Linotype" w:hAnsi="Palatino Linotype"/>
          <w:color w:val="000000"/>
          <w:sz w:val="20"/>
          <w:szCs w:val="20"/>
          <w:lang w:val="en-US"/>
        </w:rPr>
        <w:t>Menurut Jennie An et al. (2024), teknik diagnostik untuk sindrom Evans (ES) primer bervariasi tergantung pada kondisi klinis yang ditemukan. Pada pasien dengan anemia dan tanda-tanda hemolisis laboratorium, diagnosis anemia hemolitik autoimun (AIHA) tipe hangat dimulai dengan uji antiglobulin langsung (Direct Antiglobulin Test/DAT) yang biasanya positif untuk IgG dan/atau C3, meskipun hasilnya kadang lemah, serta ditemukannya sferosit pada apusan darah perifer. Hemolisis dievaluasi melalui pemeriksaan darah lengkap (CBC) yang menunjukkan peningkatan kadar laktat dehidrogenase (LDH), penurunan haptoglobin, peningkatan bilirubin tak langsung, serta jumlah retikulosit yang tinggi. Adanya agglutinin dingin menyingkirkan diagnosis AIHA tipe hangat. Pemeriksaan apusan darah perifer untuk mendeteksi sferosit juga memberikan petunjuk penting. Namun, standar emas untuk diagnosis AIHA tetap uji Direct Antiglobulin Test (DAT), yang positif pada 99% pasien dengan AIHA tipe hangat</w:t>
      </w:r>
      <w:r>
        <w:rPr>
          <w:rFonts w:ascii="Palatino Linotype" w:hAnsi="Palatino Linotype"/>
          <w:color w:val="000000"/>
          <w:sz w:val="20"/>
          <w:szCs w:val="20"/>
          <w:lang w:val="en-US"/>
        </w:rPr>
        <w:t xml:space="preserve"> </w:t>
      </w:r>
      <w:r w:rsidRPr="00DE3027">
        <w:rPr>
          <w:rFonts w:ascii="Palatino Linotype" w:hAnsi="Palatino Linotype"/>
          <w:color w:val="000000"/>
          <w:sz w:val="20"/>
          <w:szCs w:val="20"/>
          <w:lang w:val="en-US"/>
        </w:rPr>
        <w:t>Untuk diagnosis trombositopenia imun primer seperti trombositopenia imun primer (ITP) dan anemia imun neutrofil (AIN), teknik diagnostik yang ada kurang spesifik dan sensitif sehingga diagnosis lebih banyak dilakukan dengan metode eksklusi. Penggunaan uji imobilisasi antibodi monoklonal platelet (MAIPA) menunjukkan spesifisitas dan sensitivitas yang lebih tinggi dalam mendiagnosis ITP, namun keberadaan antibodi sitoplasma antineutrofil (ANCA) sulit dideteksi, sehingga diagnosis ITP tetap berdasarkan eksklusi tanpa adanya patologi trombositopenia lain. Pada ES sekunder, pedoman diagnosis meliputi pemeriksaan penunjang seperti rontgen dada dan pemindaian tomografi terkomputasi (CT) perut untuk mendeteksi kondisi dasar yang umum, seperti lupus eritematosus sistemik (SLE) dan sindrom limfoproliferatif autoimun (ALPS)</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10.14740/jh1265","ISSN":"1927-1212","author":[{"dropping-particle":"","family":"An","given":"Jennie","non-dropping-particle":"","parse-names":false,"suffix":""},{"dropping-particle":"","family":"Amaruntowa","given":"Preye","non-dropping-particle":"","parse-names":false,"suffix":""},{"dropping-particle":"","family":"Ahmed","given":"Waleed","non-dropping-particle":"","parse-names":false,"suffix":""},{"dropping-particle":"","family":"Khan","given":"Ali","non-dropping-particle":"","parse-names":false,"suffix":""},{"dropping-particle":"","family":"Shahzad","given":"Muhammad","non-dropping-particle":"","parse-names":false,"suffix":""}],"container-title":"Journal of Hematology","id":"ITEM-1","issue":"3","issued":{"date-parts":[["2024"]]},"page":"121-124","title":"Recurrent Infection in a Young Female Patient Recently Diagnosed With Primary Evans Syndrome Without Neutropenia","type":"article-journal","volume":"13"},"uris":["http://www.mendeley.com/documents/?uuid=ab5b2174-e8f4-4eba-8877-54778646614a","http://www.mendeley.com/documents/?uuid=ab46af20-28dc-418f-ad45-1730bb97228c"]},{"id":"ITEM-2","itemData":{"DOI":"10.14740/jh222w","ISSN":"1927-1212","abstract":"Evans syndrome (ES) is a rare hematologic disorder characterized by the presence of Direct Antiglobulin test (DAT) positive autoimmune hemolytic anemia (AIHA), immune thrombocytopenia (ITP), and/or immune neutropenia. The risk of thrombosis has been well established in retrospective studies for ITP and AIHA; however, the risk of thrombosis in ES has been limited to case reports and individual case series. Whether the risk of thrombosis in ITP and AIHA is additive has not been well established, but preliminary observation suggests the rate of thrombosis is higher than the rate observed in ITP or AIHA individually. Furthermore, ES appears to be an underappreciated diagnosis. Anemia in the presence of ITP is often considered to be secondary to acute blood loss and a proper workup for hemolysis is often missed. Appropriate risk stratification of these patients is hindered by this lack of workup and many patients are unfortunately not treated appropriately and/or not offered appropriate prophylaxis for their level of thrombotic risk. The purpose of this case report is to not only increase the level of awareness among clinicians to initiate an appropriate diagnostic workup in patients presenting with anemia in the setting of ITP, but also to a heightened thrombotic risk warranting an appropriate thromboprophylaxis. This case also adds to the body of evidence that a “second- hit” phenomenon is often a precipitating cause for a thrombotic event.J Hematol. 2015;4(3):205-209doi: http://dx.doi.org/10.14740/jh222w","author":[{"dropping-particle":"","family":"Otaibi","given":"Zachary D.","non-dropping-particle":"","parse-names":false,"suffix":""},{"dropping-particle":"","family":"Rao","given":"Rohit","non-dropping-particle":"","parse-names":false,"suffix":""},{"dropping-particle":"","family":"Sadashiv","given":"Santhosh K.","non-dropping-particle":"","parse-names":false,"suffix":""}],"container-title":"Journal of Hematology","id":"ITEM-2","issue":"3","issued":{"date-parts":[["2015"]]},"page":"205-209","title":"A Case of Evans Syndrome: A Clinical Condition With Under-Recognized Thrombotic Risk","type":"article-journal","volume":"4"},"uris":["http://www.mendeley.com/documents/?uuid=ef3d9da9-f561-4eca-bb22-dd9d12d88579","http://www.mendeley.com/documents/?uuid=4bc1ae2f-f791-4778-a891-5656321d7052"]}],"mendeley":{"formattedCitation":"[12,21]","plainTextFormattedCitation":"[12,21]","previouslyFormattedCitation":"(12,21)"},"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[12,21]</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59E38799" w14:textId="1C416854" w:rsidR="00DE3027" w:rsidRDefault="00DE3027" w:rsidP="00CB1C00">
      <w:pPr>
        <w:spacing w:after="0" w:line="240" w:lineRule="auto"/>
        <w:ind w:left="360" w:firstLine="349"/>
        <w:jc w:val="both"/>
        <w:rPr>
          <w:rFonts w:ascii="Palatino Linotype" w:hAnsi="Palatino Linotype"/>
          <w:color w:val="000000"/>
          <w:sz w:val="20"/>
          <w:szCs w:val="20"/>
          <w:lang w:val="en-US"/>
        </w:rPr>
      </w:pPr>
      <w:r w:rsidRPr="00DE3027">
        <w:rPr>
          <w:rFonts w:ascii="Palatino Linotype" w:hAnsi="Palatino Linotype"/>
          <w:color w:val="000000"/>
          <w:sz w:val="20"/>
          <w:szCs w:val="20"/>
          <w:lang w:val="en-US"/>
        </w:rPr>
        <w:t>Pada laporan kasus oleh Afriant</w:t>
      </w:r>
      <w:r>
        <w:rPr>
          <w:rFonts w:ascii="Palatino Linotype" w:hAnsi="Palatino Linotype"/>
          <w:color w:val="000000"/>
          <w:sz w:val="20"/>
          <w:szCs w:val="20"/>
          <w:lang w:val="en-US"/>
        </w:rPr>
        <w:t xml:space="preserve"> </w:t>
      </w:r>
      <w:r w:rsidRPr="00DE3027">
        <w:rPr>
          <w:rFonts w:ascii="Palatino Linotype" w:hAnsi="Palatino Linotype"/>
          <w:i/>
          <w:iCs/>
          <w:color w:val="000000"/>
          <w:sz w:val="20"/>
          <w:szCs w:val="20"/>
          <w:lang w:val="en-US"/>
        </w:rPr>
        <w:t>et al</w:t>
      </w:r>
      <w:r>
        <w:rPr>
          <w:rFonts w:ascii="Palatino Linotype" w:hAnsi="Palatino Linotype"/>
          <w:color w:val="000000"/>
          <w:sz w:val="20"/>
          <w:szCs w:val="20"/>
          <w:lang w:val="en-US"/>
        </w:rPr>
        <w:t>., (2023)</w:t>
      </w:r>
      <w:r w:rsidRPr="00DE3027">
        <w:rPr>
          <w:rFonts w:ascii="Palatino Linotype" w:hAnsi="Palatino Linotype"/>
          <w:color w:val="000000"/>
          <w:sz w:val="20"/>
          <w:szCs w:val="20"/>
          <w:lang w:val="en-US"/>
        </w:rPr>
        <w:t xml:space="preserve">, diagnosis sindrom Evans didasarkan pada keluhan pasien seperti kelelahan, ruam merah, pendarahan gusi, mimisan (epistaksis), dan hematuria. Pemeriksaan fisik mata menunjukkan konjungtiva anemia. Pada beberapa pasien, sindrom Evans menyebabkan penghancuran sel darah merah lebih cepat daripada tubuh dapat menggantinya, sehingga terjadi anemia. Anemia ini menimbulkan gejala seperti kelelahan, kulit pucat, pusing, sesak napas, urin berwarna gelap, dan jantung berdebar. Beberapa pasien juga mengalami penyakit kuning, yaitu menguningnya kulit dan bagian putih mata. Jika pasien menunjukkan anemia simptomatik, penyakit kuning, dan bukti hemolisis, maka ini merupakan gejala khas anemia hemolitik autoimun (AIHA). Selain itu, beberapa pasien awalnya menunjukkan kadar trombosit rendah atau trombositopenia, yang dapat menyebabkan bintik-bintik merah atau ungu kecil pada kulit (petekie), memar luas akibat pendarahan di bawah kulit (ekimosis), dan purpura, yaitu ruam kulit berupa pendarahan internal dari pembuluh darah kecil. Gejala ini khas untuk trombositopenia imun (ITP). Pasien dengan trombositopenia lebih rentan memar setelah cedera ringan dan pendarahan spontan dari selaput lendir. Secara umum, trombositopenia dikategorikan ringan jika jumlah trombosit lebih dari 70.000/mm³, dan pasien dengan trombosit 50.000/mm³ biasanya tanpa gejala. Trombositopenia berat terjadi jika trombosit turun hingga 20.000-30.000/mm³, dengan risiko perdarahan akibat trauma meningkat pada trombosit kurang dari 30.000/mm³, </w:t>
      </w:r>
      <w:r w:rsidRPr="00DE3027">
        <w:rPr>
          <w:rFonts w:ascii="Palatino Linotype" w:hAnsi="Palatino Linotype"/>
          <w:color w:val="000000"/>
          <w:sz w:val="20"/>
          <w:szCs w:val="20"/>
          <w:lang w:val="en-US"/>
        </w:rPr>
        <w:lastRenderedPageBreak/>
        <w:t>dan risiko perdarahan spontan meningkat jika trombosit kurang dari 10.000/mm³. Kadar sel darah putih yang rendah atau neutropenia lebih jarang terjadi pada sindrom Evans dibanding anemia atau trombositopenia. Pasien dengan neutropenia lebih rentan terhadap infeksi berulang, dengan gejala umum seperti demam, malaise, dan luka pada selaput lendir mulut</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{"citationItems":[{"id":"ITEM-1","itemData":{"DOI":"10.37275/bsm.v7i4.805","abstract":"Background: Evans syndrome (ES) is an autoimmune disease characterized by the presence of autoimmune hemolytic anemia (AIHA) and idiopathic thrombocytopenic purpura (ITP), together with unknown causes. ES disease is the least common, diagnosed in only 0.8% - 3.7% of all patients with AIHA or ITP. This study aimed to describe Evans syndrome in a 44-year-old male patient.\r Case presentation: A 44-year-old male patient was reported with complaints of weakness and fatigue, red spots, a history of bleeding gums, a history of bleeding from the nose, and a history of red urination. A routine blood examination revealed mild anemia, reticulocytosis, and thrombocytopenia, and the peripheral blood showed polychromatic erythrocytes. Other laboratory examinations revealed an increase in LDH. The results of a positive Comb’s test and antibody screening examination showed the impression of warm-type AIHA. The diagnosis of Evans syndrome in this patient was confirmed by the presence of AIHA and ITP, which co-occur and are primarily due to unknown causes.\r Conclusion: ES is a rare disorder and a diagnosis of exclusion. The diagnosis of ES was established by the presence of signs and symptoms of AIHA and ITP accompanied by a positive direct antiglobulin test with no other etiology found.","author":[{"dropping-particle":"","family":"Afriant","given":"Rudy","non-dropping-particle":"","parse-names":false,"suffix":""},{"dropping-particle":"","family":"Fikri","given":"Avino Mulana","non-dropping-particle":"","parse-names":false,"suffix":""},{"dropping-particle":"","family":"Kam","given":"Alexander","non-dropping-particle":"","parse-names":false,"suffix":""}],"container-title":"Bioscientia Medicina : Journal of Biomedicine and Translational Research","id":"ITEM-1","issue":"4","issued":{"date-parts":[["2023"]]},"page":"3226-3229","title":"Evans Syndrome in a Forty-Four Years Old Male Patient: A Case Report","type":"article-journal","volume":"7"},"uris":["http://www.mendeley.com/documents/?uuid=8505ed27-45ff-413a-b463-8c75b83d159b","http://www.mendeley.com/documents/?uuid=fa7763f1-bccf-4712-bd17-014d6dd375b6"]}],"mendeley":{"formattedCitation":"[10]","plainTextFormattedCitation":"[10]","previouslyFormattedCitation":"(10)"},"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[10]</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1684F391" w14:textId="17BDEF49" w:rsidR="00DE3027" w:rsidRPr="00AE4DEC" w:rsidRDefault="00DE3027" w:rsidP="00CB1C00">
      <w:pPr>
        <w:spacing w:after="0" w:line="240" w:lineRule="auto"/>
        <w:ind w:left="360" w:firstLine="349"/>
        <w:jc w:val="both"/>
        <w:rPr>
          <w:rFonts w:ascii="Palatino Linotype" w:hAnsi="Palatino Linotype"/>
          <w:color w:val="000000"/>
          <w:sz w:val="20"/>
          <w:szCs w:val="20"/>
          <w:lang w:val="sv-SE"/>
        </w:rPr>
      </w:pPr>
      <w:r w:rsidRPr="00AE4DEC">
        <w:rPr>
          <w:b/>
          <w:bCs/>
          <w:color w:val="000000" w:themeColor="text1"/>
          <w:kern w:val="28"/>
          <w:sz w:val="20"/>
          <w:lang w:val="sv-SE" w:eastAsia="en-MY"/>
        </w:rPr>
        <w:t>Tabel 1.</w:t>
      </w:r>
      <w:r w:rsidRPr="00AE4DEC">
        <w:rPr>
          <w:bCs/>
          <w:color w:val="000000" w:themeColor="text1"/>
          <w:kern w:val="28"/>
          <w:sz w:val="20"/>
          <w:lang w:val="sv-SE" w:eastAsia="en-MY"/>
        </w:rPr>
        <w:t xml:space="preserve">  Gejala Klinis dari sindrom Evans</w:t>
      </w:r>
    </w:p>
    <w:tbl>
      <w:tblPr>
        <w:tblpPr w:leftFromText="180" w:rightFromText="180" w:vertAnchor="text" w:horzAnchor="margin" w:tblpXSpec="center" w:tblpY="105"/>
        <w:tblW w:w="7660" w:type="dxa"/>
        <w:tblLayout w:type="fixed"/>
        <w:tblCellMar>
          <w:left w:w="0" w:type="dxa"/>
          <w:right w:w="0" w:type="dxa"/>
        </w:tblCellMar>
        <w:tblLook w:val="01E0" w:firstRow="1" w:lastRow="1" w:firstColumn="1" w:lastColumn="1" w:noHBand="0" w:noVBand="0"/>
      </w:tblPr>
      <w:tblGrid>
        <w:gridCol w:w="2293"/>
        <w:gridCol w:w="11"/>
        <w:gridCol w:w="2709"/>
        <w:gridCol w:w="2647"/>
      </w:tblGrid>
      <w:tr w:rsidR="006B2FCE" w:rsidRPr="00DE6C48" w14:paraId="3DCD16A1" w14:textId="21DEA6FF" w:rsidTr="006B2FCE">
        <w:trPr>
          <w:trHeight w:val="702"/>
        </w:trPr>
        <w:tc>
          <w:tcPr>
            <w:tcW w:w="2293" w:type="dxa"/>
            <w:tcBorders>
              <w:top w:val="single" w:sz="4" w:space="0" w:color="000000"/>
              <w:bottom w:val="single" w:sz="4" w:space="0" w:color="000000"/>
            </w:tcBorders>
          </w:tcPr>
          <w:p w14:paraId="3F19279E" w14:textId="77777777" w:rsidR="006B2FCE" w:rsidRPr="00AE4DEC" w:rsidRDefault="006B2FCE" w:rsidP="006B2FCE">
            <w:pPr>
              <w:pStyle w:val="TableParagraph"/>
              <w:spacing w:line="276" w:lineRule="auto"/>
              <w:ind w:left="0"/>
              <w:rPr>
                <w:rFonts w:ascii="Palatino Linotype" w:hAnsi="Palatino Linotype"/>
                <w:bCs/>
                <w:sz w:val="20"/>
                <w:szCs w:val="20"/>
                <w:lang w:val="sv-SE"/>
              </w:rPr>
            </w:pPr>
          </w:p>
          <w:p w14:paraId="48404AD2" w14:textId="746E1B45" w:rsidR="006B2FCE" w:rsidRPr="00DE6C48" w:rsidRDefault="006B2FCE" w:rsidP="006B2FCE">
            <w:pPr>
              <w:pStyle w:val="TableParagraph"/>
              <w:spacing w:line="276" w:lineRule="auto"/>
              <w:ind w:left="0"/>
              <w:rPr>
                <w:b/>
                <w:color w:val="000000" w:themeColor="text1"/>
                <w:sz w:val="24"/>
                <w:szCs w:val="24"/>
              </w:rPr>
            </w:pPr>
            <w:r w:rsidRPr="00DE3027">
              <w:rPr>
                <w:rFonts w:ascii="Palatino Linotype" w:hAnsi="Palatino Linotype"/>
                <w:bCs/>
                <w:sz w:val="20"/>
                <w:szCs w:val="20"/>
              </w:rPr>
              <w:t xml:space="preserve">Tanda Klinis </w:t>
            </w:r>
            <w:proofErr w:type="spellStart"/>
            <w:r w:rsidRPr="00DE3027">
              <w:rPr>
                <w:rFonts w:ascii="Palatino Linotype" w:hAnsi="Palatino Linotype"/>
                <w:bCs/>
                <w:sz w:val="20"/>
                <w:szCs w:val="20"/>
              </w:rPr>
              <w:t>dari</w:t>
            </w:r>
            <w:proofErr w:type="spellEnd"/>
            <w:r w:rsidRPr="00DE3027">
              <w:rPr>
                <w:rFonts w:ascii="Palatino Linotype" w:hAnsi="Palatino Linotype"/>
                <w:bCs/>
                <w:sz w:val="20"/>
                <w:szCs w:val="20"/>
              </w:rPr>
              <w:t xml:space="preserve"> AIN</w:t>
            </w:r>
          </w:p>
        </w:tc>
        <w:tc>
          <w:tcPr>
            <w:tcW w:w="2720" w:type="dxa"/>
            <w:gridSpan w:val="2"/>
            <w:tcBorders>
              <w:top w:val="single" w:sz="4" w:space="0" w:color="000000"/>
              <w:bottom w:val="single" w:sz="4" w:space="0" w:color="000000"/>
            </w:tcBorders>
          </w:tcPr>
          <w:p w14:paraId="6583322E" w14:textId="1088DBB6" w:rsidR="006B2FCE" w:rsidRPr="00DE6C48" w:rsidRDefault="006B2FCE" w:rsidP="006B2FCE">
            <w:pPr>
              <w:pStyle w:val="TableParagraph"/>
              <w:spacing w:before="228" w:line="276" w:lineRule="auto"/>
              <w:ind w:left="0"/>
              <w:rPr>
                <w:b/>
                <w:color w:val="000000" w:themeColor="text1"/>
                <w:sz w:val="24"/>
                <w:szCs w:val="24"/>
              </w:rPr>
            </w:pPr>
            <w:r w:rsidRPr="00DE3027">
              <w:rPr>
                <w:rFonts w:ascii="Palatino Linotype" w:hAnsi="Palatino Linotype"/>
                <w:bCs/>
                <w:sz w:val="20"/>
                <w:szCs w:val="20"/>
              </w:rPr>
              <w:t xml:space="preserve">Tanda Klinis </w:t>
            </w:r>
            <w:proofErr w:type="spellStart"/>
            <w:r w:rsidRPr="00DE3027">
              <w:rPr>
                <w:rFonts w:ascii="Palatino Linotype" w:hAnsi="Palatino Linotype"/>
                <w:bCs/>
                <w:sz w:val="20"/>
                <w:szCs w:val="20"/>
              </w:rPr>
              <w:t>dari</w:t>
            </w:r>
            <w:proofErr w:type="spellEnd"/>
            <w:r w:rsidRPr="00DE3027">
              <w:rPr>
                <w:rFonts w:ascii="Palatino Linotype" w:hAnsi="Palatino Linotype"/>
                <w:bCs/>
                <w:sz w:val="20"/>
                <w:szCs w:val="20"/>
              </w:rPr>
              <w:t xml:space="preserve"> ITP</w:t>
            </w:r>
          </w:p>
        </w:tc>
        <w:tc>
          <w:tcPr>
            <w:tcW w:w="2647" w:type="dxa"/>
            <w:tcBorders>
              <w:top w:val="single" w:sz="4" w:space="0" w:color="000000"/>
              <w:bottom w:val="single" w:sz="4" w:space="0" w:color="000000"/>
            </w:tcBorders>
          </w:tcPr>
          <w:p w14:paraId="0B465262" w14:textId="47ECA231" w:rsidR="006B2FCE" w:rsidRPr="00DE3027" w:rsidRDefault="006B2FCE" w:rsidP="006B2FCE">
            <w:pPr>
              <w:pStyle w:val="TableParagraph"/>
              <w:spacing w:before="228" w:line="276" w:lineRule="auto"/>
              <w:ind w:left="0"/>
              <w:rPr>
                <w:rFonts w:ascii="Palatino Linotype" w:hAnsi="Palatino Linotype"/>
                <w:bCs/>
                <w:sz w:val="20"/>
                <w:szCs w:val="20"/>
              </w:rPr>
            </w:pPr>
            <w:r w:rsidRPr="00DE3027">
              <w:rPr>
                <w:rFonts w:ascii="Palatino Linotype" w:hAnsi="Palatino Linotype"/>
                <w:bCs/>
                <w:sz w:val="20"/>
                <w:szCs w:val="20"/>
              </w:rPr>
              <w:t xml:space="preserve">Tanda Klinis </w:t>
            </w:r>
            <w:proofErr w:type="spellStart"/>
            <w:r w:rsidRPr="00DE3027">
              <w:rPr>
                <w:rFonts w:ascii="Palatino Linotype" w:hAnsi="Palatino Linotype"/>
                <w:bCs/>
                <w:sz w:val="20"/>
                <w:szCs w:val="20"/>
              </w:rPr>
              <w:t>dari</w:t>
            </w:r>
            <w:proofErr w:type="spellEnd"/>
            <w:r w:rsidRPr="00DE3027">
              <w:rPr>
                <w:rFonts w:ascii="Palatino Linotype" w:hAnsi="Palatino Linotype"/>
                <w:bCs/>
                <w:sz w:val="20"/>
                <w:szCs w:val="20"/>
              </w:rPr>
              <w:t xml:space="preserve"> AIHA </w:t>
            </w:r>
          </w:p>
        </w:tc>
      </w:tr>
      <w:tr w:rsidR="006B2FCE" w:rsidRPr="00DE6C48" w14:paraId="1453BBA8" w14:textId="62D4C6B7" w:rsidTr="006B2FCE">
        <w:trPr>
          <w:trHeight w:val="120"/>
        </w:trPr>
        <w:tc>
          <w:tcPr>
            <w:tcW w:w="2304" w:type="dxa"/>
            <w:gridSpan w:val="2"/>
            <w:tcBorders>
              <w:top w:val="single" w:sz="4" w:space="0" w:color="000000"/>
              <w:bottom w:val="single" w:sz="4" w:space="0" w:color="000000"/>
            </w:tcBorders>
          </w:tcPr>
          <w:p w14:paraId="48402854" w14:textId="574AAB2B" w:rsidR="006B2FCE" w:rsidRPr="006B2FCE" w:rsidRDefault="006B2FCE" w:rsidP="006B2FCE">
            <w:pPr>
              <w:pStyle w:val="TableParagraph"/>
              <w:spacing w:line="276" w:lineRule="auto"/>
              <w:ind w:left="0"/>
              <w:rPr>
                <w:rFonts w:ascii="Palatino Linotype" w:hAnsi="Palatino Linotype"/>
                <w:bCs/>
                <w:sz w:val="20"/>
                <w:szCs w:val="20"/>
              </w:rPr>
            </w:pPr>
            <w:proofErr w:type="spellStart"/>
            <w:r w:rsidRPr="00DE3027">
              <w:rPr>
                <w:rFonts w:ascii="Palatino Linotype" w:hAnsi="Palatino Linotype"/>
                <w:bCs/>
                <w:sz w:val="20"/>
                <w:szCs w:val="20"/>
              </w:rPr>
              <w:t>Infeksi</w:t>
            </w:r>
            <w:proofErr w:type="spellEnd"/>
            <w:r w:rsidRPr="00DE3027">
              <w:rPr>
                <w:rFonts w:ascii="Palatino Linotype" w:hAnsi="Palatino Linotype"/>
                <w:bCs/>
                <w:sz w:val="20"/>
                <w:szCs w:val="20"/>
              </w:rPr>
              <w:t xml:space="preserve"> </w:t>
            </w:r>
            <w:proofErr w:type="spellStart"/>
            <w:r w:rsidRPr="00DE3027">
              <w:rPr>
                <w:rFonts w:ascii="Palatino Linotype" w:hAnsi="Palatino Linotype"/>
                <w:bCs/>
                <w:sz w:val="20"/>
                <w:szCs w:val="20"/>
              </w:rPr>
              <w:t>berulang</w:t>
            </w:r>
            <w:proofErr w:type="spellEnd"/>
            <w:r w:rsidRPr="00DE3027">
              <w:rPr>
                <w:rFonts w:ascii="Palatino Linotype" w:hAnsi="Palatino Linotype"/>
                <w:bCs/>
                <w:sz w:val="20"/>
                <w:szCs w:val="20"/>
              </w:rPr>
              <w:t xml:space="preserve"> </w:t>
            </w:r>
            <w:r>
              <w:rPr>
                <w:rFonts w:ascii="Palatino Linotype" w:hAnsi="Palatino Linotype"/>
                <w:color w:val="000000"/>
                <w:sz w:val="20"/>
                <w:szCs w:val="20"/>
              </w:rPr>
              <w:fldChar w:fldCharType="begin" w:fldLock="1"/>
            </w:r>
            <w:r w:rsidR="00AE4DEC">
              <w:rPr>
                <w:rFonts w:ascii="Palatino Linotype" w:hAnsi="Palatino Linotype"/>
                <w:color w:val="000000"/>
                <w:sz w:val="20"/>
                <w:szCs w:val="20"/>
              </w:rPr>
              <w:instrText>ADDIN CSL_CITATION {"citationItems":[{"id":"ITEM-1","itemData":{"DOI":"10.1155/2016/3523057","ISSN":"20420099","abstract":"Intravenous immunoglobulins (IVIGs), a mixture of variable amounts of proteins (albumin, IgG, IgM, IgA, and IgE antibodies), as well as salt, sugar, solvents, and detergents, are successfully used to treat a variety of dermatological disorders. For decades, IVIGs have been administered for treatment of infectious diseases and immune deficiencies, since they contain natural antibodies that represent a first-line defense against pathogens. Today their indication has expanded, including the off-label therapy for a variety of autoimmune and inflammatory diseases. In dermatology, IVIGs are administered for treatment of different disorders at different therapeutic regimens, mostly with higher doses then those administered for treatment of infectious diseases. The aim of this prospective review is to highlight the indications, effectiveness, side effects, and perspectives of the systemic treatment with IVIGs for patients with severe, life-threatening, and resistant to conventional therapies autoimmune or inflammatory dermatoses.","author":[{"dropping-particle":"","family":"Dourmishev","given":"Lyubomir A.","non-dropping-particle":"","parse-names":false,"suffix":""},{"dropping-particle":"V.","family":"Guleva","given":"Dimitrina","non-dropping-particle":"","parse-names":false,"suffix":""},{"dropping-particle":"","family":"Miteva","given":"Ljubka G.","non-dropping-particle":"","parse-names":false,"suffix":""}],"container-title":"International Journal of Inflammation","id":"ITEM-1","issued":{"date-parts":[["2016"]]},"publisher":"Hindawi Publishing Corporation","title":"Intravenous immunoglobulins: Mode of action and indications in autoimmune and inflammatory dermatoses","type":"article-journal","volume":"2016"},"uris":["http://www.mendeley.com/documents/?uuid=2ef9e91e-c0cc-46da-a82d-0a9912889762","http://www.mendeley.com/documents/?uuid=e5c36a60-9657-4277-9414-f24809bdc569"]},{"id":"ITEM-2","itemData":{"DOI":"10.31579/2690-8794/207","author":[{"dropping-particle":"","family":"Asadi","given":"Shahin","non-dropping-particle":"","parse-names":false,"suffix":""},{"dropping-particle":"","family":"Gholizadeh","given":"Zahra","non-dropping-particle":"","parse-names":false,"suffix":""},{"dropping-particle":"","family":"Amirabadi","given":"Hamid","non-dropping-particle":"","parse-names":false,"suffix":""}],"id":"ITEM-2","issue":"April","issued":{"date-parts":[["2024"]]},"title":"A Comprehensive Review of the Pathological Mechanism of Evans Syndrome A Comprehensive Review of the Pathological Mechanism of Evans Syndrome","type":"article-journal"},"uris":["http://www.mendeley.com/documents/?uuid=cb39c610-e915-4998-bff2-37f318a787dd","http://www.mendeley.com/documents/?uuid=22922db0-24fe-4a43-8ed4-2f0d8ccacba4"]},{"id":"ITEM-3","itemData":{"DOI":"10.37275/bsm.v7i4.805","abstract":"Background: Evans syndrome (ES) is an autoimmune disease characterized by the presence of autoimmune hemolytic anemia (AIHA) and idiopathic thrombocytopenic purpura (ITP), together with unknown causes. ES disease is the least common, diagnosed in only 0.8% - 3.7% of all patients with AIHA or ITP. This study aimed to describe Evans syndrome in a 44-year-old male patient.\r Case presentation: A 44-year-old male patient was reported with complaints of weakness and fatigue, red spots, a history of bleeding gums, a history of bleeding from the nose, and a history of red urination. A routine blood examination revealed mild anemia, reticulocytosis, and thrombocytopenia, and the peripheral blood showed polychromatic erythrocytes. Other laboratory examinations revealed an increase in LDH. The results of a positive Comb’s test and antibody screening examination showed the impression of warm-type AIHA. The diagnosis of Evans syndrome in this patient was confirmed by the presence of AIHA and ITP, which co-occur and are primarily due to unknown causes.\r Conclusion: ES is a rare disorder and a diagnosis of exclusion. The diagnosis of ES was established by the presence of signs and symptoms of AIHA and ITP accompanied by a positive direct antiglobulin test with no other etiology found.","author":[{"dropping-particle":"","family":"Afriant","given":"Rudy","non-dropping-particle":"","parse-names":false,"suffix":""},{"dropping-particle":"","family":"Fikri","given":"Avino Mulana","non-dropping-particle":"","parse-names":false,"suffix":""},{"dropping-particle":"","family":"Kam","given":"Alexander","non-dropping-particle":"","parse-names":false,"suffix":""}],"container-title":"Bioscientia Medicina : Journal of Biomedicine and Translational Research","id":"ITEM-3","issue":"4","issued":{"date-parts":[["2023"]]},"page":"3226-3229","title":"Evans Syndrome in a Forty-Four Years Old Male Patient: A Case Report","type":"article-journal","volume":"7"},"uris":["http://www.mendeley.com/documents/?uuid=8505ed27-45ff-413a-b463-8c75b83d159b","http://www.mendeley.com/documents/?uuid=fa7763f1-bccf-4712-bd17-014d6dd375b6","http://www.mendeley.com/documents/?uuid=6d47a06f-3a9b-40ae-adb5-8fef87381e2b"]}],"mendeley":{"formattedCitation":"[4,10,22]","plainTextFormattedCitation":"[4,10,22]","previouslyFormattedCitation":"(4,10,22)"},"properties":{"noteIndex":0},"schema":"https://github.com/citation-style-language/schema/raw/master/csl-citation.json"}</w:instrText>
            </w:r>
            <w:r>
              <w:rPr>
                <w:rFonts w:ascii="Palatino Linotype" w:hAnsi="Palatino Linotype"/>
                <w:color w:val="000000"/>
                <w:sz w:val="20"/>
                <w:szCs w:val="20"/>
              </w:rPr>
              <w:fldChar w:fldCharType="separate"/>
            </w:r>
            <w:r w:rsidR="00AE4DEC" w:rsidRPr="00AE4DEC">
              <w:rPr>
                <w:rFonts w:ascii="Palatino Linotype" w:hAnsi="Palatino Linotype"/>
                <w:noProof/>
                <w:color w:val="000000"/>
                <w:sz w:val="20"/>
                <w:szCs w:val="20"/>
              </w:rPr>
              <w:t>[4,10,22]</w:t>
            </w:r>
            <w:r>
              <w:rPr>
                <w:rFonts w:ascii="Palatino Linotype" w:hAnsi="Palatino Linotype"/>
                <w:color w:val="000000"/>
                <w:sz w:val="20"/>
                <w:szCs w:val="20"/>
              </w:rPr>
              <w:fldChar w:fldCharType="end"/>
            </w:r>
          </w:p>
          <w:p w14:paraId="7FE9E30B" w14:textId="77777777" w:rsidR="006B2FCE" w:rsidRPr="00DE6C48" w:rsidRDefault="006B2FCE" w:rsidP="006B2FCE">
            <w:pPr>
              <w:pStyle w:val="TableParagraph"/>
              <w:spacing w:line="276" w:lineRule="auto"/>
              <w:ind w:left="0"/>
              <w:rPr>
                <w:color w:val="000000" w:themeColor="text1"/>
                <w:sz w:val="24"/>
                <w:szCs w:val="24"/>
              </w:rPr>
            </w:pPr>
          </w:p>
        </w:tc>
        <w:tc>
          <w:tcPr>
            <w:tcW w:w="2709" w:type="dxa"/>
            <w:tcBorders>
              <w:top w:val="single" w:sz="4" w:space="0" w:color="000000"/>
              <w:bottom w:val="single" w:sz="4" w:space="0" w:color="000000"/>
            </w:tcBorders>
          </w:tcPr>
          <w:p w14:paraId="4A7D8491" w14:textId="4E82C703" w:rsidR="006B2FCE" w:rsidRDefault="006B2FCE" w:rsidP="006B2FCE">
            <w:pPr>
              <w:spacing w:after="0" w:line="240" w:lineRule="auto"/>
              <w:rPr>
                <w:rFonts w:ascii="Palatino Linotype" w:hAnsi="Palatino Linotype"/>
                <w:color w:val="000000"/>
                <w:sz w:val="20"/>
                <w:szCs w:val="20"/>
                <w:lang w:val="en-US"/>
              </w:rPr>
            </w:pPr>
            <w:r w:rsidRPr="00DE3027">
              <w:rPr>
                <w:rFonts w:ascii="Palatino Linotype" w:hAnsi="Palatino Linotype" w:cs="Times New Roman"/>
                <w:bCs/>
                <w:sz w:val="20"/>
                <w:szCs w:val="20"/>
              </w:rPr>
              <w:t>Perdarahan, purpura, dan memar atau pendarahan akibat cedera ringan dan kematian (dalam beberapa kasus)</w:t>
            </w:r>
            <w:r>
              <w:rPr>
                <w:rFonts w:ascii="Palatino Linotype" w:hAnsi="Palatino Linotype"/>
                <w:bCs/>
                <w:sz w:val="20"/>
                <w:szCs w:val="20"/>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{"citationItems":[{"id":"ITEM-1","itemData":{"DOI":"10.1155/2016/3523057","ISSN":"20420099","abstract":"Intravenous immunoglobulins (IVIGs), a mixture of variable amounts of proteins (albumin, IgG, IgM, IgA, and IgE antibodies), as well as salt, sugar, solvents, and detergents, are successfully used to treat a variety of dermatological disorders. For decades, IVIGs have been administered for treatment of infectious diseases and immune deficiencies, since they contain natural antibodies that represent a first-line defense against pathogens. Today their indication has expanded, including the off-label therapy for a variety of autoimmune and inflammatory diseases. In dermatology, IVIGs are administered for treatment of different disorders at different therapeutic regimens, mostly with higher doses then those administered for treatment of infectious diseases. The aim of this prospective review is to highlight the indications, effectiveness, side effects, and perspectives of the systemic treatment with IVIGs for patients with severe, life-threatening, and resistant to conventional therapies autoimmune or inflammatory dermatoses.","author":[{"dropping-particle":"","family":"Dourmishev","given":"Lyubomir A.","non-dropping-particle":"","parse-names":false,"suffix":""},{"dropping-particle":"V.","family":"Guleva","given":"Dimitrina","non-dropping-particle":"","parse-names":false,"suffix":""},{"dropping-particle":"","family":"Miteva","given":"Ljubka G.","non-dropping-particle":"","parse-names":false,"suffix":""}],"container-title":"International Journal of Inflammation","id":"ITEM-1","issued":{"date-parts":[["2016"]]},"publisher":"Hindawi Publishing Corporation","title":"Intravenous immunoglobulins: Mode of action and indications in autoimmune and inflammatory dermatoses","type":"article-journal","volume":"2016"},"uris":["http://www.mendeley.com/documents/?uuid=e5c36a60-9657-4277-9414-f24809bdc569","http://www.mendeley.com/documents/?uuid=2ef9e91e-c0cc-46da-a82d-0a9912889762"]},{"id":"ITEM-2","itemData":{"DOI":"10.31579/2690-8794/207","author":[{"dropping-particle":"","family":"Asadi","given":"Shahin","non-dropping-particle":"","parse-names":false,"suffix":""},{"dropping-particle":"","family":"Gholizadeh","given":"Zahra","non-dropping-particle":"","parse-names":false,"suffix":""},{"dropping-particle":"","family":"Amirabadi","given":"Hamid","non-dropping-particle":"","parse-names":false,"suffix":""}],"id":"ITEM-2","issue":"April","issued":{"date-parts":[["2024"]]},"title":"A Comprehensive Review of the Pathological Mechanism of Evans Syndrome A Comprehensive Review of the Pathological Mechanism of Evans Syndrome","type":"article-journal"},"uris":["http://www.mendeley.com/documents/?uuid=cb39c610-e915-4998-bff2-37f318a787dd","http://www.mendeley.com/documents/?uuid=22922db0-24fe-4a43-8ed4-2f0d8ccacba4","http://www.mendeley.com/documents/?uuid=67695470-59d2-4f53-87f9-05f5134b78eb"]},{"id":"ITEM-3","itemData":{"DOI":"10.37275/bsm.v7i4.805","abstract":"Background: Evans syndrome (ES) is an autoimmune disease characterized by the presence of autoimmune hemolytic anemia (AIHA) and idiopathic thrombocytopenic purpura (ITP), together with unknown causes. ES disease is the least common, diagnosed in only 0.8% - 3.7% of all patients with AIHA or ITP. This study aimed to describe Evans syndrome in a 44-year-old male patient.\r Case presentation: A 44-year-old male patient was reported with complaints of weakness and fatigue, red spots, a history of bleeding gums, a history of bleeding from the nose, and a history of red urination. A routine blood examination revealed mild anemia, reticulocytosis, and thrombocytopenia, and the peripheral blood showed polychromatic erythrocytes. Other laboratory examinations revealed an increase in LDH. The results of a positive Comb’s test and antibody screening examination showed the impression of warm-type AIHA. The diagnosis of Evans syndrome in this patient was confirmed by the presence of AIHA and ITP, which co-occur and are primarily due to unknown causes.\r Conclusion: ES is a rare disorder and a diagnosis of exclusion. The diagnosis of ES was established by the presence of signs and symptoms of AIHA and ITP accompanied by a positive direct antiglobulin test with no other etiology found.","author":[{"dropping-particle":"","family":"Afriant","given":"Rudy","non-dropping-particle":"","parse-names":false,"suffix":""},{"dropping-particle":"","family":"Fikri","given":"Avino Mulana","non-dropping-particle":"","parse-names":false,"suffix":""},{"dropping-particle":"","family":"Kam","given":"Alexander","non-dropping-particle":"","parse-names":false,"suffix":""}],"container-title":"Bioscientia Medicina : Journal of Biomedicine and Translational Research","id":"ITEM-3","issue":"4","issued":{"date-parts":[["2023"]]},"page":"3226-3229","title":"Evans Syndrome in a Forty-Four Years Old Male Patient: A Case Report","type":"article-journal","volume":"7"},"uris":["http://www.mendeley.com/documents/?uuid=8505ed27-45ff-413a-b463-8c75b83d159b","http://www.mendeley.com/documents/?uuid=fa7763f1-bccf-4712-bd17-014d6dd375b6","http://www.mendeley.com/documents/?uuid=057011e2-94b2-4ccf-944e-045080426f77"]}],"mendeley":{"formattedCitation":"[4,10,22]","plainTextFormattedCitation":"[4,10,22]","previouslyFormattedCitation":"(4,10,22)"},"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[4,10,22]</w:t>
            </w:r>
            <w:r>
              <w:rPr>
                <w:rFonts w:ascii="Palatino Linotype" w:hAnsi="Palatino Linotype"/>
                <w:color w:val="000000"/>
                <w:sz w:val="20"/>
                <w:szCs w:val="20"/>
                <w:lang w:val="en-US"/>
              </w:rPr>
              <w:fldChar w:fldCharType="end"/>
            </w:r>
          </w:p>
          <w:p w14:paraId="4AB824EA" w14:textId="4C5392B4" w:rsidR="006B2FCE" w:rsidRPr="00DE6C48" w:rsidRDefault="006B2FCE" w:rsidP="006B2FCE">
            <w:pPr>
              <w:pStyle w:val="TableParagraph"/>
              <w:spacing w:line="276" w:lineRule="auto"/>
              <w:ind w:left="0" w:right="16"/>
              <w:rPr>
                <w:color w:val="000000" w:themeColor="text1"/>
                <w:sz w:val="24"/>
                <w:szCs w:val="24"/>
              </w:rPr>
            </w:pPr>
          </w:p>
        </w:tc>
        <w:tc>
          <w:tcPr>
            <w:tcW w:w="2647" w:type="dxa"/>
            <w:tcBorders>
              <w:top w:val="single" w:sz="4" w:space="0" w:color="000000"/>
              <w:bottom w:val="single" w:sz="4" w:space="0" w:color="000000"/>
            </w:tcBorders>
          </w:tcPr>
          <w:p w14:paraId="79AE5054" w14:textId="47759DCE" w:rsidR="006B2FCE" w:rsidRPr="006B2FCE" w:rsidRDefault="006B2FCE" w:rsidP="006B2FCE">
            <w:pPr>
              <w:spacing w:after="0" w:line="240" w:lineRule="auto"/>
              <w:rPr>
                <w:rFonts w:ascii="Palatino Linotype" w:hAnsi="Palatino Linotype"/>
                <w:color w:val="000000"/>
                <w:sz w:val="20"/>
                <w:szCs w:val="20"/>
                <w:lang w:val="en-US"/>
              </w:rPr>
            </w:pPr>
            <w:r w:rsidRPr="00DE3027">
              <w:rPr>
                <w:rFonts w:ascii="Palatino Linotype" w:hAnsi="Palatino Linotype" w:cs="Times New Roman"/>
                <w:bCs/>
                <w:sz w:val="20"/>
                <w:szCs w:val="20"/>
              </w:rPr>
              <w:t>Kelelahan, penyakit kuning, pusing, sesak napas, kelemahan fisik, pembesaran limpa, dan komplikasi iskemik seperti sindrom koroner akut (usia di atas 60 tahun)</w:t>
            </w:r>
            <w:r>
              <w:rPr>
                <w:rFonts w:ascii="Palatino Linotype" w:hAnsi="Palatino Linotype"/>
                <w:bCs/>
                <w:sz w:val="20"/>
                <w:szCs w:val="20"/>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{"citationItems":[{"id":"ITEM-1","itemData":{"DOI":"10.1155/2016/3523057","ISSN":"20420099","abstract":"Intravenous immunoglobulins (IVIGs), a mixture of variable amounts of proteins (albumin, IgG, IgM, IgA, and IgE antibodies), as well as salt, sugar, solvents, and detergents, are successfully used to treat a variety of dermatological disorders. For decades, IVIGs have been administered for treatment of infectious diseases and immune deficiencies, since they contain natural antibodies that represent a first-line defense against pathogens. Today their indication has expanded, including the off-label therapy for a variety of autoimmune and inflammatory diseases. In dermatology, IVIGs are administered for treatment of different disorders at different therapeutic regimens, mostly with higher doses then those administered for treatment of infectious diseases. The aim of this prospective review is to highlight the indications, effectiveness, side effects, and perspectives of the systemic treatment with IVIGs for patients with severe, life-threatening, and resistant to conventional therapies autoimmune or inflammatory dermatoses.","author":[{"dropping-particle":"","family":"Dourmishev","given":"Lyubomir A.","non-dropping-particle":"","parse-names":false,"suffix":""},{"dropping-particle":"V.","family":"Guleva","given":"Dimitrina","non-dropping-particle":"","parse-names":false,"suffix":""},{"dropping-particle":"","family":"Miteva","given":"Ljubka G.","non-dropping-particle":"","parse-names":false,"suffix":""}],"container-title":"International Journal of Inflammation","id":"ITEM-1","issued":{"date-parts":[["2016"]]},"publisher":"Hindawi Publishing Corporation","title":"Intravenous immunoglobulins: Mode of action and indications in autoimmune and inflammatory dermatoses","type":"article-journal","volume":"2016"},"uris":["http://www.mendeley.com/documents/?uuid=e5c36a60-9657-4277-9414-f24809bdc569","http://www.mendeley.com/documents/?uuid=2ef9e91e-c0cc-46da-a82d-0a9912889762"]},{"id":"ITEM-2","itemData":{"DOI":"10.31579/2690-8794/207","author":[{"dropping-particle":"","family":"Asadi","given":"Shahin","non-dropping-particle":"","parse-names":false,"suffix":""},{"dropping-particle":"","family":"Gholizadeh","given":"Zahra","non-dropping-particle":"","parse-names":false,"suffix":""},{"dropping-particle":"","family":"Amirabadi","given":"Hamid","non-dropping-particle":"","parse-names":false,"suffix":""}],"id":"ITEM-2","issue":"April","issued":{"date-parts":[["2024"]]},"title":"A Comprehensive Review of the Pathological Mechanism of Evans Syndrome A Comprehensive Review of the Pathological Mechanism of Evans Syndrome","type":"article-journal"},"uris":["http://www.mendeley.com/documents/?uuid=cb39c610-e915-4998-bff2-37f318a787dd","http://www.mendeley.com/documents/?uuid=22922db0-24fe-4a43-8ed4-2f0d8ccacba4","http://www.mendeley.com/documents/?uuid=3d7fcd08-7124-4bde-8f5a-4c31e7019f79"]},{"id":"ITEM-3","itemData":{"DOI":"10.37275/bsm.v7i4.805","abstract":"Background: Evans syndrome (ES) is an autoimmune disease characterized by the presence of autoimmune hemolytic anemia (AIHA) and idiopathic thrombocytopenic purpura (ITP), together with unknown causes. ES disease is the least common, diagnosed in only 0.8% - 3.7% of all patients with AIHA or ITP. This study aimed to describe Evans syndrome in a 44-year-old male patient.\r Case presentation: A 44-year-old male patient was reported with complaints of weakness and fatigue, red spots, a history of bleeding gums, a history of bleeding from the nose, and a history of red urination. A routine blood examination revealed mild anemia, reticulocytosis, and thrombocytopenia, and the peripheral blood showed polychromatic erythrocytes. Other laboratory examinations revealed an increase in LDH. The results of a positive Comb’s test and antibody screening examination showed the impression of warm-type AIHA. The diagnosis of Evans syndrome in this patient was confirmed by the presence of AIHA and ITP, which co-occur and are primarily due to unknown causes.\r Conclusion: ES is a rare disorder and a diagnosis of exclusion. The diagnosis of ES was established by the presence of signs and symptoms of AIHA and ITP accompanied by a positive direct antiglobulin test with no other etiology found.","author":[{"dropping-particle":"","family":"Afriant","given":"Rudy","non-dropping-particle":"","parse-names":false,"suffix":""},{"dropping-particle":"","family":"Fikri","given":"Avino Mulana","non-dropping-particle":"","parse-names":false,"suffix":""},{"dropping-particle":"","family":"Kam","given":"Alexander","non-dropping-particle":"","parse-names":false,"suffix":""}],"container-title":"Bioscientia Medicina : Journal of Biomedicine and Translational Research","id":"ITEM-3","issue":"4","issued":{"date-parts":[["2023"]]},"page":"3226-3229","title":"Evans Syndrome in a Forty-Four Years Old Male Patient: A Case Report","type":"article-journal","volume":"7"},"uris":["http://www.mendeley.com/documents/?uuid=8505ed27-45ff-413a-b463-8c75b83d159b","http://www.mendeley.com/documents/?uuid=fa7763f1-bccf-4712-bd17-014d6dd375b6","http://www.mendeley.com/documents/?uuid=b7ff7b40-1eaa-463e-a40d-ae2399f028e2"]}],"mendeley":{"formattedCitation":"[4,10,22]","plainTextFormattedCitation":"[4,10,22]","previouslyFormattedCitation":"(4,10,22)"},"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[4,10,22]</w:t>
            </w:r>
            <w:r>
              <w:rPr>
                <w:rFonts w:ascii="Palatino Linotype" w:hAnsi="Palatino Linotype"/>
                <w:color w:val="000000"/>
                <w:sz w:val="20"/>
                <w:szCs w:val="20"/>
                <w:lang w:val="en-US"/>
              </w:rPr>
              <w:fldChar w:fldCharType="end"/>
            </w:r>
          </w:p>
        </w:tc>
      </w:tr>
    </w:tbl>
    <w:p w14:paraId="09BEA57B" w14:textId="77777777" w:rsidR="00DE3027" w:rsidRDefault="00DE3027" w:rsidP="00CB1C00">
      <w:pPr>
        <w:spacing w:after="0" w:line="240" w:lineRule="auto"/>
        <w:ind w:left="360" w:firstLine="349"/>
        <w:jc w:val="both"/>
        <w:rPr>
          <w:rFonts w:ascii="Palatino Linotype" w:hAnsi="Palatino Linotype"/>
          <w:color w:val="000000"/>
          <w:sz w:val="20"/>
          <w:szCs w:val="20"/>
          <w:lang w:val="en-US"/>
        </w:rPr>
      </w:pPr>
    </w:p>
    <w:p w14:paraId="4F8B5D1D" w14:textId="77777777" w:rsidR="00DE3027" w:rsidRDefault="00DE3027" w:rsidP="00CB1C00">
      <w:pPr>
        <w:spacing w:after="0" w:line="240" w:lineRule="auto"/>
        <w:ind w:left="360" w:firstLine="349"/>
        <w:jc w:val="both"/>
        <w:rPr>
          <w:rFonts w:ascii="Palatino Linotype" w:hAnsi="Palatino Linotype"/>
          <w:color w:val="000000"/>
          <w:sz w:val="20"/>
          <w:szCs w:val="20"/>
          <w:lang w:val="en-US"/>
        </w:rPr>
      </w:pPr>
    </w:p>
    <w:p w14:paraId="1924E890" w14:textId="77777777" w:rsidR="006B2FCE" w:rsidRPr="006B2FCE" w:rsidRDefault="006B2FCE" w:rsidP="006B2FCE">
      <w:pPr>
        <w:pStyle w:val="ListParagraph"/>
        <w:spacing w:after="0" w:line="240" w:lineRule="auto"/>
        <w:rPr>
          <w:rFonts w:ascii="Palatino Linotype" w:hAnsi="Palatino Linotype"/>
          <w:b/>
          <w:bCs/>
          <w:color w:val="000000"/>
          <w:sz w:val="20"/>
          <w:szCs w:val="20"/>
          <w:lang w:val="en-US"/>
        </w:rPr>
      </w:pPr>
    </w:p>
    <w:p w14:paraId="6F360B9E" w14:textId="77777777" w:rsidR="00CB1C00" w:rsidRDefault="00CB1C00" w:rsidP="005F1897">
      <w:pPr>
        <w:spacing w:after="0" w:line="240" w:lineRule="auto"/>
        <w:ind w:left="360" w:firstLine="349"/>
        <w:rPr>
          <w:rFonts w:ascii="Palatino Linotype" w:hAnsi="Palatino Linotype"/>
          <w:color w:val="000000"/>
          <w:sz w:val="20"/>
          <w:szCs w:val="20"/>
          <w:lang w:val="en-US"/>
        </w:rPr>
      </w:pPr>
    </w:p>
    <w:p w14:paraId="5F8C332A" w14:textId="77777777" w:rsidR="006B2FCE" w:rsidRDefault="006B2FCE" w:rsidP="005F1897">
      <w:pPr>
        <w:spacing w:after="0" w:line="240" w:lineRule="auto"/>
        <w:ind w:left="360" w:firstLine="349"/>
        <w:rPr>
          <w:rFonts w:ascii="Palatino Linotype" w:hAnsi="Palatino Linotype"/>
          <w:color w:val="000000"/>
          <w:sz w:val="20"/>
          <w:szCs w:val="20"/>
          <w:lang w:val="en-US"/>
        </w:rPr>
      </w:pPr>
    </w:p>
    <w:p w14:paraId="5D3541A1" w14:textId="77777777" w:rsidR="006B2FCE" w:rsidRDefault="006B2FCE" w:rsidP="005F1897">
      <w:pPr>
        <w:spacing w:after="0" w:line="240" w:lineRule="auto"/>
        <w:ind w:left="360" w:firstLine="349"/>
        <w:rPr>
          <w:rFonts w:ascii="Palatino Linotype" w:hAnsi="Palatino Linotype"/>
          <w:color w:val="000000"/>
          <w:sz w:val="20"/>
          <w:szCs w:val="20"/>
          <w:lang w:val="en-US"/>
        </w:rPr>
      </w:pPr>
    </w:p>
    <w:p w14:paraId="77C11186" w14:textId="77777777" w:rsidR="006B2FCE" w:rsidRDefault="006B2FCE" w:rsidP="005F1897">
      <w:pPr>
        <w:spacing w:after="0" w:line="240" w:lineRule="auto"/>
        <w:ind w:left="360" w:firstLine="349"/>
        <w:rPr>
          <w:rFonts w:ascii="Palatino Linotype" w:hAnsi="Palatino Linotype"/>
          <w:color w:val="000000"/>
          <w:sz w:val="20"/>
          <w:szCs w:val="20"/>
          <w:lang w:val="en-US"/>
        </w:rPr>
      </w:pPr>
    </w:p>
    <w:p w14:paraId="1CCD1E2E" w14:textId="77777777" w:rsidR="006B2FCE" w:rsidRDefault="006B2FCE" w:rsidP="005F1897">
      <w:pPr>
        <w:spacing w:after="0" w:line="240" w:lineRule="auto"/>
        <w:ind w:left="360" w:firstLine="349"/>
        <w:rPr>
          <w:rFonts w:ascii="Palatino Linotype" w:hAnsi="Palatino Linotype"/>
          <w:color w:val="000000"/>
          <w:sz w:val="20"/>
          <w:szCs w:val="20"/>
          <w:lang w:val="en-US"/>
        </w:rPr>
      </w:pPr>
    </w:p>
    <w:p w14:paraId="4B3383BC" w14:textId="77777777" w:rsidR="006B2FCE" w:rsidRDefault="006B2FCE" w:rsidP="005F1897">
      <w:pPr>
        <w:spacing w:after="0" w:line="240" w:lineRule="auto"/>
        <w:ind w:left="360" w:firstLine="349"/>
        <w:rPr>
          <w:rFonts w:ascii="Palatino Linotype" w:hAnsi="Palatino Linotype"/>
          <w:color w:val="000000"/>
          <w:sz w:val="20"/>
          <w:szCs w:val="20"/>
          <w:lang w:val="en-US"/>
        </w:rPr>
      </w:pPr>
    </w:p>
    <w:p w14:paraId="5FB2BD23" w14:textId="77777777" w:rsidR="006B2FCE" w:rsidRDefault="006B2FCE" w:rsidP="005F1897">
      <w:pPr>
        <w:spacing w:after="0" w:line="240" w:lineRule="auto"/>
        <w:ind w:left="360" w:firstLine="349"/>
        <w:rPr>
          <w:rFonts w:ascii="Palatino Linotype" w:hAnsi="Palatino Linotype"/>
          <w:color w:val="000000"/>
          <w:sz w:val="20"/>
          <w:szCs w:val="20"/>
          <w:lang w:val="en-US"/>
        </w:rPr>
      </w:pPr>
    </w:p>
    <w:p w14:paraId="3CBC8F67" w14:textId="77777777" w:rsidR="006B2FCE" w:rsidRDefault="006B2FCE" w:rsidP="005F1897">
      <w:pPr>
        <w:spacing w:after="0" w:line="240" w:lineRule="auto"/>
        <w:ind w:left="360" w:firstLine="349"/>
        <w:rPr>
          <w:rFonts w:ascii="Palatino Linotype" w:hAnsi="Palatino Linotype"/>
          <w:color w:val="000000"/>
          <w:sz w:val="20"/>
          <w:szCs w:val="20"/>
          <w:lang w:val="en-US"/>
        </w:rPr>
      </w:pPr>
    </w:p>
    <w:p w14:paraId="3F848E1F" w14:textId="77777777" w:rsidR="006B2FCE" w:rsidRDefault="006B2FCE" w:rsidP="005F1897">
      <w:pPr>
        <w:spacing w:after="0" w:line="240" w:lineRule="auto"/>
        <w:ind w:left="360" w:firstLine="349"/>
        <w:rPr>
          <w:rFonts w:ascii="Palatino Linotype" w:hAnsi="Palatino Linotype"/>
          <w:color w:val="000000"/>
          <w:sz w:val="20"/>
          <w:szCs w:val="20"/>
          <w:lang w:val="en-US"/>
        </w:rPr>
      </w:pPr>
    </w:p>
    <w:p w14:paraId="393BE217" w14:textId="56F9C9DE" w:rsidR="006B2FCE" w:rsidRPr="006B2FCE" w:rsidRDefault="006B2FCE" w:rsidP="006B2FCE">
      <w:pPr>
        <w:pStyle w:val="ListParagraph"/>
        <w:numPr>
          <w:ilvl w:val="0"/>
          <w:numId w:val="42"/>
        </w:numPr>
        <w:spacing w:after="0" w:line="240" w:lineRule="auto"/>
        <w:rPr>
          <w:rFonts w:ascii="Palatino Linotype" w:hAnsi="Palatino Linotype"/>
          <w:b/>
          <w:bCs/>
          <w:color w:val="000000"/>
          <w:sz w:val="20"/>
          <w:szCs w:val="20"/>
          <w:lang w:val="en-US"/>
        </w:rPr>
      </w:pPr>
      <w:r w:rsidRPr="006B2FCE">
        <w:rPr>
          <w:rFonts w:ascii="Palatino Linotype" w:hAnsi="Palatino Linotype"/>
          <w:b/>
          <w:bCs/>
          <w:color w:val="000000"/>
          <w:sz w:val="20"/>
          <w:szCs w:val="20"/>
          <w:lang w:val="en-US"/>
        </w:rPr>
        <w:t xml:space="preserve">Manajemen Terapi sindrom Evans </w:t>
      </w:r>
    </w:p>
    <w:p w14:paraId="4DE2EE80" w14:textId="470875D8" w:rsidR="001C2389" w:rsidRPr="00AE4DEC" w:rsidRDefault="001C2389" w:rsidP="001C2389">
      <w:pPr>
        <w:spacing w:after="0" w:line="240" w:lineRule="auto"/>
        <w:ind w:left="360" w:firstLine="349"/>
        <w:jc w:val="both"/>
        <w:rPr>
          <w:rFonts w:ascii="Palatino Linotype" w:hAnsi="Palatino Linotype"/>
          <w:color w:val="000000"/>
          <w:sz w:val="20"/>
          <w:szCs w:val="20"/>
          <w:lang w:val="sv-SE"/>
        </w:rPr>
      </w:pPr>
      <w:r w:rsidRPr="001C2389">
        <w:rPr>
          <w:rFonts w:ascii="Palatino Linotype" w:hAnsi="Palatino Linotype"/>
          <w:color w:val="000000"/>
          <w:sz w:val="20"/>
          <w:szCs w:val="20"/>
          <w:lang w:val="en-US"/>
        </w:rPr>
        <w:t xml:space="preserve">Tidak ada obat khusus untuk sindrom Evans, sehingga pengobatannya sering kali sulit dan bersifat simptomatik. Terapi difokuskan pada penanganan gejala spesifik yang muncul pada setiap individu, terutama terkait dengan </w:t>
      </w:r>
      <w:r w:rsidRPr="001C2389">
        <w:rPr>
          <w:rFonts w:ascii="Palatino Linotype" w:hAnsi="Palatino Linotype"/>
          <w:i/>
          <w:iCs/>
          <w:color w:val="000000"/>
          <w:sz w:val="20"/>
          <w:szCs w:val="20"/>
          <w:lang w:val="en-US"/>
        </w:rPr>
        <w:t>Autoimmune Hemolytic Anemia</w:t>
      </w:r>
      <w:r w:rsidRPr="001C2389">
        <w:rPr>
          <w:rFonts w:ascii="Palatino Linotype" w:hAnsi="Palatino Linotype"/>
          <w:color w:val="000000"/>
          <w:sz w:val="20"/>
          <w:szCs w:val="20"/>
          <w:lang w:val="en-US"/>
        </w:rPr>
        <w:t xml:space="preserve"> (AIHA), </w:t>
      </w:r>
      <w:r w:rsidRPr="001C2389">
        <w:rPr>
          <w:rFonts w:ascii="Palatino Linotype" w:hAnsi="Palatino Linotype"/>
          <w:i/>
          <w:iCs/>
          <w:color w:val="000000"/>
          <w:sz w:val="20"/>
          <w:szCs w:val="20"/>
          <w:lang w:val="en-US"/>
        </w:rPr>
        <w:t xml:space="preserve">Idiopathic Thrombocytopenic Purpura </w:t>
      </w:r>
      <w:r w:rsidRPr="001C2389">
        <w:rPr>
          <w:rFonts w:ascii="Palatino Linotype" w:hAnsi="Palatino Linotype"/>
          <w:color w:val="000000"/>
          <w:sz w:val="20"/>
          <w:szCs w:val="20"/>
          <w:lang w:val="en-US"/>
        </w:rPr>
        <w:t xml:space="preserve">(ITP), dan </w:t>
      </w:r>
      <w:r w:rsidRPr="001C2389">
        <w:rPr>
          <w:rFonts w:ascii="Palatino Linotype" w:hAnsi="Palatino Linotype"/>
          <w:i/>
          <w:iCs/>
          <w:color w:val="000000"/>
          <w:sz w:val="20"/>
          <w:szCs w:val="20"/>
          <w:lang w:val="en-US"/>
        </w:rPr>
        <w:t>Autoimmune Neutropenia</w:t>
      </w:r>
      <w:r w:rsidRPr="001C2389">
        <w:rPr>
          <w:rFonts w:ascii="Palatino Linotype" w:hAnsi="Palatino Linotype"/>
          <w:color w:val="000000"/>
          <w:sz w:val="20"/>
          <w:szCs w:val="20"/>
          <w:lang w:val="en-US"/>
        </w:rPr>
        <w:t xml:space="preserve"> (AIN). Penyakit ini biasanya menunjukkan pola eksaserbasi dan remisi yang berulang dalam perjalanan kronisnya, dengan respons pengobatan yang bervariasi bahkan pada pasien yang sama. </w:t>
      </w:r>
      <w:r w:rsidRPr="00AE4DEC">
        <w:rPr>
          <w:rFonts w:ascii="Palatino Linotype" w:hAnsi="Palatino Linotype"/>
          <w:color w:val="000000"/>
          <w:sz w:val="20"/>
          <w:szCs w:val="20"/>
          <w:lang w:val="en-US"/>
        </w:rPr>
        <w:t xml:space="preserve">Sebagian besar pasien memerlukan pengobatan meskipun ada kemungkinan remisi spontan. Namun, tidak semua pasien yang asimtomatik dengan jumlah sel darah merah rendah harus mendapatkan terapi. Keputusan untuk memulai pengobatan harus disesuaikan dengan kondisi dan kebutuhan tiap individu. Berbagai jenis perawatan telah digunakan untuk mengelola sindrom Evans, dengan efektivitas yang berbeda-beda antar pasien. Beberapa orang dapat mencapai pemulihan jangka panjang, sementara yang lain mengalami kondisi kronis tanpa perbaikan signifikan. Pengobatan sindrom Evans sering kali memerlukan pendekatan terkoordinasi dari tim spesialis. Tujuan utama terapi adalah mencapai respons lengkap jangka panjang. Sindrom ini umumnya ditandai oleh episode kambuh dan remisi berulang dari ITP dan AIHA. Pada beberapa pasien, remisi jangka panjang hanya dapat dicapai melalui transplantasi sel punca. Dalam tindak lanjut jangka panjang, sebagian besar penelitian menunjukkan bahwa episode ITP terjadi lebih sering dibandingkan dengan AIHA </w:t>
      </w:r>
      <w:r>
        <w:rPr>
          <w:rFonts w:ascii="Palatino Linotype" w:hAnsi="Palatino Linotype"/>
          <w:color w:val="000000"/>
          <w:sz w:val="20"/>
          <w:szCs w:val="20"/>
          <w:lang w:val="en-US"/>
        </w:rPr>
        <w:fldChar w:fldCharType="begin" w:fldLock="1"/>
      </w:r>
      <w:r w:rsidR="00AE4DEC" w:rsidRPr="00AE4DEC">
        <w:rPr>
          <w:rFonts w:ascii="Palatino Linotype" w:hAnsi="Palatino Linotype"/>
          <w:color w:val="000000"/>
          <w:sz w:val="20"/>
          <w:szCs w:val="20"/>
          <w:lang w:val="en-US"/>
        </w:rPr>
        <w:instrText>ADDIN CSL_CITATION {"citationItems":[{"id":"ITEM-1","itemData":{"DOI":"10.37275/bsm.v7i4.805","abstract":"Background: Evans syndrome (ES) is an autoimmune disease characterized by the presence of autoimmune hemolytic anemia (AIHA) and idiopathic thrombocytopenic purpura (ITP), together with unknown causes. ES disease is the least common, diagnosed in only 0.8% - 3.7% of all patients with AIHA or ITP. This study aimed to describe Evans syndrome in a 44-year-old male patient.\r Case presentation: A 44-year-old male patient was reported with complaints of weakness and fatigue, red spots, a history of bleeding gums, a history of bleeding from the nose, and a history of red urination. A routine blood examination revealed mild anemia, reticulocytosis, and thrombocytopenia, and the peripheral blood showed polychromatic erythrocytes. Other laboratory examinations revealed an increase in LDH. The results of a positive Comb’s test and antibody screening examination showed the impression of warm-type AIHA. The diagnosis of Evans syndrome in this patient was confirmed by the presence of AIHA and ITP, which co-occur and are primarily due to unknown causes.\r Conclusion: ES is a rare disorder and a diagnosis of exclusion. The diagnosis of ES was established by the presence of signs and symptoms of AIHA and ITP accompanied by a positive direct antiglobulin test with no other etiology found.","author":[{"dropping-particle":"","family":"Afriant","given":"Rudy",</w:instrText>
      </w:r>
      <w:r w:rsidR="00AE4DEC">
        <w:rPr>
          <w:rFonts w:ascii="Palatino Linotype" w:hAnsi="Palatino Linotype"/>
          <w:color w:val="000000"/>
          <w:sz w:val="20"/>
          <w:szCs w:val="20"/>
          <w:lang w:val="sv-SE"/>
        </w:rPr>
        <w:instrText>"non-dropping-particle":"","parse-names":false,"suffix":""},{"dropping-particle":"","family":"Fikri","given":"Avino Mulana","non-dropping-particle":"","parse-names":false,"suffix":""},{"dropping-particle":"","family":"Kam","given":"Alexander","non-dropping-particle":"","parse-names":false,"suffix":""}],"container-title":"Bioscientia Medicina : Journal of Biomedicine and Translational Research","id":"ITEM-1","issue":"4","issued":{"date-parts":[["2023"]]},"page":"3226-3229","title":"Evans Syndrome in a Forty-Four Years Old Male Patient: A Case Report","type":"article-journal","volume":"7"},"uris":["http://www.mendeley.com/documents/?uuid=8505ed27-45ff-413a-b463-8c75b83d159b","http://www.mendeley.com/documents/?uuid=fa7763f1-bccf-4712-bd17-014d6dd375b6"]},{"id":"ITEM-2","itemData":{"DOI":"10.2147/JBM.S176144","ISSN":"11792736","PMID":"30349415","abstract":"Evans syndrome (ES) is a rare and chronic autoimmune disease characterized by autoimmune hemolytic anemia and immune thrombocytopenic purpura with a positive direct anti-human globulin test. It is classified as primary and secondary, with the frequency in patients with autoimmune hemolytic anemia being 37%–73%. It predominates in children, mainly due to primary immunodeficiencies or autoimmune lymphoproliferative syndrome. ES during pregnancy is associated with high fetal morbidity, including severe hemolysis and intracranial bleeding with neurological sequelae and death. The clinical presentation can include fatigue, pallor, jaundice and mucosal bleeding, with remissions and exacerbations during the person’s lifetime, and acute manifestations as catastrophic bleeding and massive hemolysis. Recent molecular theories explaining the physiopathology of ES include deficiencies of CTLA-4, LRBA, TPP2 and a decreased CD4/CD8 ratio. As in other autoimmune cytopenias, there is no established evidence-based treatment and steroids are the first-line therapy, with intravenous immunoglobulin administered as a life-saving resource in cases of severe immune thrombocytopenic purpura manifestations. Second-line treatment for refractory ES includes rituximab, mofetil mycophenolate, cyclosporine, vincristine, azathioprine, sirolimus and thrombopoietin receptor agonists. In cases unresponsive to immunosuppressive agents, hematopoietic stem cell transplantation has been successful, although it is necessary to consider its potential serious adverse effects. In conclusion, ES is a disease with a heterogeneous course that remains challenging to patients and physicians, with prospective clinical trials needed to explore potential targeted therapy to achieve an improved long-term response or even a cure.","author":[{"dropping-particle":"","family":"Jaime-Pérez","given":"José Carlos","non-dropping-particle":"","parse-names":false,"suffix":""},{"dropping-particle":"","family":"Elva","given":"Patrizia","non-dropping-particle":"","parse-names":false,"suffix":""},{"dropping-particle":"","family":"Aguilar-Calderón","given":"","non-dropping-particle":"","parse-names":false,"suffix":""},{"dropping-particle":"","family":"Salazar-Cavazos","given":"Lorena","non-dropping-particle":"","parse-names":false,"suffix":""},{"dropping-particle":"","family":"Gómez-Almaguer","given":"David","non-dropping-particle":"","parse-names":false,"suffix":""}],"container-title":"Journal of Blood Medicine","id":"ITEM-2","issued":{"date-parts":[["2018"]]},"page":"171-184","title":"Evans syndrome: Clinical perspectives, biological insights and treatment modalities","type":"article-journal","volume":"9"},"uris":["http://www.mendeley.com/documents/?uuid=761b199c-2af2-4eb5-bcd8-3e906bcd2a66","http://www.mendeley.com/documents/?uuid=ccfdb421-1aec-4488-bbe0-83dd784ef9a3","http://www.mendeley.com/documents/?uuid=b2d53465-a2a1-4581-9b7b-1438dbe7be41"]}],"mendeley":{"formattedCitation":"[1,10]","plainTextFormattedCitation":"[1,10]","previouslyFormattedCitation":"(1,10)"},"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[1,10]</w:t>
      </w:r>
      <w:r>
        <w:rPr>
          <w:rFonts w:ascii="Palatino Linotype" w:hAnsi="Palatino Linotype"/>
          <w:color w:val="000000"/>
          <w:sz w:val="20"/>
          <w:szCs w:val="20"/>
          <w:lang w:val="en-US"/>
        </w:rPr>
        <w:fldChar w:fldCharType="end"/>
      </w:r>
      <w:r w:rsidRPr="00AE4DEC">
        <w:rPr>
          <w:rFonts w:ascii="Palatino Linotype" w:hAnsi="Palatino Linotype"/>
          <w:color w:val="000000"/>
          <w:sz w:val="20"/>
          <w:szCs w:val="20"/>
          <w:lang w:val="sv-SE"/>
        </w:rPr>
        <w:t xml:space="preserve">. </w:t>
      </w:r>
    </w:p>
    <w:p w14:paraId="6B1FACFA" w14:textId="579EEE72" w:rsidR="006B2FCE" w:rsidRPr="00AE4DEC" w:rsidRDefault="001C2389" w:rsidP="001C2389">
      <w:pPr>
        <w:spacing w:after="0" w:line="240" w:lineRule="auto"/>
        <w:ind w:left="360" w:firstLine="349"/>
        <w:jc w:val="both"/>
        <w:rPr>
          <w:rFonts w:ascii="Palatino Linotype" w:hAnsi="Palatino Linotype"/>
          <w:color w:val="000000"/>
          <w:sz w:val="20"/>
          <w:szCs w:val="20"/>
          <w:lang w:val="sv-SE"/>
        </w:rPr>
      </w:pPr>
      <w:r w:rsidRPr="00AE4DEC">
        <w:rPr>
          <w:rFonts w:ascii="Palatino Linotype" w:hAnsi="Palatino Linotype"/>
          <w:color w:val="000000"/>
          <w:sz w:val="20"/>
          <w:szCs w:val="20"/>
          <w:lang w:val="sv-SE"/>
        </w:rPr>
        <w:t xml:space="preserve">Penanganan lini pertama pada sindrom Evans tidak jauh berbeda dengan penanganan anemia hemolitik autoimun (AIHA) atau trombositopenia imun primer (ITP) yang muncul sendiri. Tujuan pengobatan adalah mengendalikan gejala akut, seperti pendarahan atau anemia, dan umumnya lini pertama diberikan kortikosteroid. Namun, pada kasus sitopenia autoimun yang kambuh secara kronis pada sindrom Evans, serta kebutuhan durasi pengobatan yang lebih lama, diperlukan pertimbangan strategi pengobatan alternatif. Hal ini bertujuan menghindari terapi kortikosteroid berkepanjangan yang dapat menimbulkan efek samping jangka pendek maupun jangka panjang. Terapi lini pertama lainnya yakni Terapi imunoglobulin intravena (IVIg) juga telah digunakan untuk mengobati pasien dengan sindrom Evans. IVIg bekerja dengan mengubah aktivitas sistem imun dan diberikan melalui infus langsung ke dalam vena. Namun, respons terhadap terapi ini dapat menurun lebih cepat pada </w:t>
      </w:r>
      <w:r w:rsidRPr="00AE4DEC">
        <w:rPr>
          <w:rFonts w:ascii="Palatino Linotype" w:hAnsi="Palatino Linotype"/>
          <w:color w:val="000000"/>
          <w:sz w:val="20"/>
          <w:szCs w:val="20"/>
          <w:lang w:val="sv-SE"/>
        </w:rPr>
        <w:lastRenderedPageBreak/>
        <w:t xml:space="preserve">pengobatan berulang, sehingga sering kali diperlukan terapi lini kedua </w:t>
      </w:r>
      <w:r>
        <w:rPr>
          <w:rFonts w:ascii="Palatino Linotype" w:hAnsi="Palatino Linotype"/>
          <w:color w:val="000000"/>
          <w:sz w:val="20"/>
          <w:szCs w:val="20"/>
          <w:lang w:val="en-US"/>
        </w:rPr>
        <w:fldChar w:fldCharType="begin" w:fldLock="1"/>
      </w:r>
      <w:r w:rsidR="00AE4DEC" w:rsidRPr="00AE4DEC">
        <w:rPr>
          <w:rFonts w:ascii="Palatino Linotype" w:hAnsi="Palatino Linotype"/>
          <w:color w:val="000000"/>
          <w:sz w:val="20"/>
          <w:szCs w:val="20"/>
          <w:lang w:val="sv-SE"/>
        </w:rPr>
        <w:instrText>ADDIN CSL_CITATION {"citationItems":[{"id":"ITEM-1","itemData":{"DOI":"10.1016/j.hoc.2021.12.004","ISSN":"15581977","PMID":"35282950","author":[{"dropping-particle":"","family":"Michel","given":"Marc","non-dropping-particle":"","parse-names":false,"suffix":""}],"container-title":"Hematology/Oncology Clinics of North America","id":"ITEM-1","issue":"2","issued":{"date-parts":[["2022"]]},"page":"381-392","publisher":"Elsevier Inc.","title":"Adult Evans' Syndrome","type":"article-journal","volume":"36"},"uris":["http://www.mendeley.com/documents/?uuid=8e44b75e-01a5-452e-9eca-30e9a184b3df","http://www.mendeley.com/documents/?uuid=eadc2344-ac31-4a54-91e9-599c97aac1b0"]}],"mendeley":{"formattedCitation":"[3]","plainTextFormattedCitation":"[3]","previouslyFormattedCitation":"(3)"},"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[3]</w:t>
      </w:r>
      <w:r>
        <w:rPr>
          <w:rFonts w:ascii="Palatino Linotype" w:hAnsi="Palatino Linotype"/>
          <w:color w:val="000000"/>
          <w:sz w:val="20"/>
          <w:szCs w:val="20"/>
          <w:lang w:val="en-US"/>
        </w:rPr>
        <w:fldChar w:fldCharType="end"/>
      </w:r>
      <w:r w:rsidRPr="00AE4DEC">
        <w:rPr>
          <w:rFonts w:ascii="Palatino Linotype" w:hAnsi="Palatino Linotype"/>
          <w:color w:val="000000"/>
          <w:sz w:val="20"/>
          <w:szCs w:val="20"/>
          <w:lang w:val="sv-SE"/>
        </w:rPr>
        <w:t xml:space="preserve">. </w:t>
      </w:r>
      <w:r w:rsidR="000C4A43">
        <w:rPr>
          <w:rFonts w:ascii="Palatino Linotype" w:hAnsi="Palatino Linotype"/>
          <w:color w:val="000000"/>
          <w:sz w:val="20"/>
          <w:szCs w:val="20"/>
          <w:lang w:val="en-US"/>
        </w:rPr>
        <w:drawing>
          <wp:inline distT="0" distB="0" distL="0" distR="0" wp14:anchorId="00D8F725" wp14:editId="5A1F37AD">
            <wp:extent cx="4616597" cy="2617989"/>
            <wp:effectExtent l="0" t="0" r="0" b="0"/>
            <wp:docPr id="97638636" name="Picture 6" descr="A diagram of a patient's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8636" name="Picture 6" descr="A diagram of a patient's flow&#10;&#10;Description automatically generated"/>
                    <pic:cNvPicPr/>
                  </pic:nvPicPr>
                  <pic:blipFill>
                    <a:blip r:embed="rId19"/>
                    <a:stretch>
                      <a:fillRect/>
                    </a:stretch>
                  </pic:blipFill>
                  <pic:spPr>
                    <a:xfrm>
                      <a:off x="0" y="0"/>
                      <a:ext cx="4626065" cy="2623358"/>
                    </a:xfrm>
                    <a:prstGeom prst="rect">
                      <a:avLst/>
                    </a:prstGeom>
                  </pic:spPr>
                </pic:pic>
              </a:graphicData>
            </a:graphic>
          </wp:inline>
        </w:drawing>
      </w:r>
    </w:p>
    <w:p w14:paraId="0DE9623D" w14:textId="3BAF9D8C" w:rsidR="001C2389" w:rsidRPr="000E3166" w:rsidRDefault="000C4A43" w:rsidP="001C2389">
      <w:pPr>
        <w:jc w:val="center"/>
        <w:rPr>
          <w:bCs/>
          <w:sz w:val="20"/>
          <w:lang w:val="sv-SE"/>
        </w:rPr>
      </w:pPr>
      <w:r w:rsidRPr="000E3166">
        <w:rPr>
          <w:bCs/>
          <w:sz w:val="20"/>
          <w:lang w:val="sv-SE"/>
        </w:rPr>
        <w:t xml:space="preserve">Gambar </w:t>
      </w:r>
      <w:r w:rsidR="001C2389" w:rsidRPr="000E3166">
        <w:rPr>
          <w:bCs/>
          <w:sz w:val="20"/>
          <w:lang w:val="sv-SE"/>
        </w:rPr>
        <w:t>3</w:t>
      </w:r>
      <w:r w:rsidRPr="000E3166">
        <w:rPr>
          <w:bCs/>
          <w:sz w:val="20"/>
          <w:lang w:val="sv-SE"/>
        </w:rPr>
        <w:t xml:space="preserve">. </w:t>
      </w:r>
      <w:r w:rsidR="001C2389" w:rsidRPr="000E3166">
        <w:rPr>
          <w:bCs/>
          <w:sz w:val="20"/>
          <w:lang w:val="sv-SE"/>
        </w:rPr>
        <w:t>Manajemen terapi sindrom Evans primer</w:t>
      </w:r>
    </w:p>
    <w:p w14:paraId="15D9F28F" w14:textId="1EF37816" w:rsidR="001C2389" w:rsidRDefault="008E1C69" w:rsidP="008E1C69">
      <w:pPr>
        <w:spacing w:after="0" w:line="240" w:lineRule="auto"/>
        <w:ind w:left="360" w:firstLine="349"/>
        <w:jc w:val="both"/>
        <w:rPr>
          <w:rFonts w:ascii="Palatino Linotype" w:hAnsi="Palatino Linotype"/>
          <w:color w:val="000000"/>
          <w:sz w:val="20"/>
          <w:szCs w:val="20"/>
          <w:lang w:val="en-US"/>
        </w:rPr>
      </w:pPr>
      <w:r w:rsidRPr="000E3166">
        <w:rPr>
          <w:rFonts w:ascii="Palatino Linotype" w:hAnsi="Palatino Linotype"/>
          <w:color w:val="000000"/>
          <w:sz w:val="20"/>
          <w:szCs w:val="20"/>
          <w:lang w:val="sv-SE"/>
        </w:rPr>
        <w:t xml:space="preserve">Terdapat berbagai pilihan pengobatan imunomodulasi sekunder yang dapat dipertimbangkan untuk sindrom Evans, antara lain azatioprin, siklosporin, danazol, 6-tioguanin (6-TG), takrolimus, vinkristin, siklofosfamid, splenektomi, alemtuzumab (antibodi anti-CD52), mikofenolat mofetil (MMF), rituximab (antibodi anti-CD20), serta terapi terbaru seperti rapamisin (sirolimus) dan agonis reseptor trombopoietin (TPO-RA) seperti eltrombopag dan romiplostim. Pengobatan ini dapat digunakan secara tunggal maupun dalam kombinasi (terapi multi-agen) sebagai terapi lini kedua bagi pasien yang tidak merespons kortikosteroid atau terapi imunoglobulin intravena (IVIg). Selama episode akut, transfusi darah atau trombosit mungkin diperlukan terutama pada pasien dengan gejala berat dan eksaserbasi. Namun, penggunaan transfusi harus dihindari sebisa mungkin untuk mengurangi risiko komplikasi, seperti reaksi alergi dan beban sirkulasi berlebih. Rituximab sebagai terapi lini kedua menunjukkan efektivitas yang sangat baik pada pasien sindrom Evans, sedangkan mikofenolat mofetil juga tampak relatif efektif dalam mengendalikan penyakit. Selain itu, obat-obatan seperti siklosporin dan danazol juga sering digunakan sebagai bagian dari regimen pengobatan lini kedua. Splenektomi dapat dipertimbangkan pada kasus yang refrakter, meskipun peranannya belum jelas dan risiko relaps serta komplikasi seperti sepsis pascaprosedur cukup tinggi, terutama pada anak-anak. Penelitian lebih lanjut masih diperlukan untuk memastikan keamanan dan efektivitas jangka panjang dari berbagai pengobatan ini.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10.31579/2690-8794/207","author":[{"dropping-particle":"","family":"Asadi","given":"Shahin","non-dropping-particle":"","parse-names":false,"suffix":""},{"dropping-particle":"","family":"Gholizadeh","given":"Zahra","non-dropping-particle":"","parse-names":false,"suffix":""},{"dropping-particle":"","family":"Amirabadi","given":"Hamid","non-dropping-particle":"","parse-names":false,"suffix":""}],"id":"ITEM-1","issue":"April","issued":{"date-parts":[["2024"]]},"title":"A Comprehensive Review of the Pathological Mechanism of Evans Syndrome A Comprehensive Review of the Pathological Mechanism of Evans Syndrome","type":"article-journal"},"uris":["http://www.mendeley.com/documents/?uuid=cb39c610-e915-4998-bff2-37f318a787dd","http://www.mendeley.com/documents/?uuid=22922db0-24fe-4a43-8ed4-2f0d8ccacba4"]},{"id":"ITEM-2","itemData":{"DOI":"10.1016/j.hoc.2021.12.004","ISSN":"15581977","PMID":"35282950","author":[{"dropping-particle":"","family":"Michel","given":"Marc","non-dropping-particle":"","parse-names":false,"suffix":""}],"container-title":"Hematology/Oncology Clinics of North America","id":"ITEM-2","issue":"2","issued":{"date-parts":[["2022"]]},"page":"381-392","publisher":"Elsevier Inc.","title":"Adult Evans' Syndrome","type":"article-journal","volume":"36"},"uris":["http://www.mendeley.com/documents/?uuid=8e44b75e-01a5-452e-9eca-30e9a184b3df","http://www.mendeley.com/documents/?uuid=eadc2344-ac31-4a54-91e9-599c97aac1b0","http://www.mendeley.com/documents/?uuid=ffbced3a-ca89-45ff-b69e-5a6723cc4971"]}],"mendeley":{"formattedCitation":"[3,4]","plainTextFormattedCitation":"[3,4]","previouslyFormattedCitation":"(3,4)"},"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[3,4]</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w:t>
      </w:r>
    </w:p>
    <w:p w14:paraId="26F8C6BD" w14:textId="34FE1CCE" w:rsidR="008E1C69" w:rsidRDefault="008E1C69" w:rsidP="008E1C69">
      <w:pPr>
        <w:spacing w:after="0" w:line="240" w:lineRule="auto"/>
        <w:ind w:left="360" w:firstLine="349"/>
        <w:jc w:val="both"/>
        <w:rPr>
          <w:rFonts w:ascii="Palatino Linotype" w:hAnsi="Palatino Linotype"/>
          <w:color w:val="000000"/>
          <w:sz w:val="20"/>
          <w:szCs w:val="20"/>
          <w:lang w:val="en-US"/>
        </w:rPr>
      </w:pPr>
      <w:r w:rsidRPr="008E1C69">
        <w:rPr>
          <w:rFonts w:ascii="Palatino Linotype" w:hAnsi="Palatino Linotype"/>
          <w:color w:val="000000"/>
          <w:sz w:val="20"/>
          <w:szCs w:val="20"/>
          <w:lang w:val="en-US"/>
        </w:rPr>
        <w:t>Beberapa pasien dengan sindrom Evans telah menjalani transplantasi sel induk, baik alogenik maupun autologus. Sel punca adalah sel khusus di sumsum tulang yang menghasilkan berbagai jenis sel darah, seperti sel darah merah, sel darah putih, dan trombosit. Pada transplantasi sel punca autologus, sel punca pasien diambil setelah perawatan awal, kemudian disuntikkan kembali ke sumsum tulang setelah gangguan berkembang. Sedangkan pada transplantasi sel punca alogenik, sel punca didonorkan oleh orang lain, biasanya anggota keluarga dekat. Metode ini biasanya menjadi pilihan terakhir bagi pasien yang gagal merespons pengobatan lain</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10.31579/2690-8794/207","author":[{"dropping-particle":"","family":"Asadi","given":"Shahin","non-dropping-particle":"","parse-names":false,"suffix":""},{"dropping-particle":"","family":"Gholizadeh","given":"Zahra","non-dropping-particle":"","parse-names":false,"suffix":""},{"dropping-particle":"","family":"Amirabadi","given":"Hamid","non-dropping-particle":"","parse-names":false,"suffix":""}],"id":"ITEM-1","issue":"April","issued":{"date-parts":[["2024"]]},"title":"A Comprehensive Review of the Pathological Mechanism of Evans Syndrome A Comprehensive Review of the Pathological Mechanism of Evans Syndrome","type":"article-journal"},"uris":["http://www.mendeley.com/documents/?uuid=cb39c610-e915-4998-bff2-37f318a787dd","http://www.mendeley.com/documents/?uuid=22922db0-24fe-4a43-8ed4-2f0d8ccacba4"]},{"id":"ITEM-2","itemData":{"DOI":"10.1007/978-3-319-73269-5_2","ISBN":"9783319732695","author":[{"dropping-particle":"","family":"Kim","given":"Taylor Olmsted","non-dropping-particle":"","parse-names":false,"suffix":""}],"container-title":"Immune Hematology: Diagnosis and Management of Autoimmune Cytopenias","id":"ITEM-2","issued":{"date-parts":[["2018"]]},"number-of-pages":"17-33","title":"Pathophysiology of immune thrombocytopenia","type":"book"},"uris":["http://www.mendeley.com/documents/?uuid=5db4ecde-991f-4771-bb35-a9e8f49b8059","http://www.mendeley.com/documents/?uuid=68b419a8-9e7a-4117-8229-4777d43fda56","http://www.mendeley.com/documents/?uuid=76fb4fb6-d8c6-41c0-9eeb-024986f3d62b"]}],"mendeley":{"formattedCitation":"[4,13]","plainTextFormattedCitation":"[4,13]","previouslyFormattedCitation":"(4,13)"},"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[4,13]</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4CD7786E" w14:textId="25046A95" w:rsidR="001C2389" w:rsidRDefault="001C2389" w:rsidP="008E1C69">
      <w:pPr>
        <w:spacing w:after="0" w:line="240" w:lineRule="auto"/>
        <w:ind w:left="360" w:firstLine="349"/>
        <w:jc w:val="both"/>
        <w:rPr>
          <w:rFonts w:ascii="Palatino Linotype" w:hAnsi="Palatino Linotype"/>
          <w:color w:val="000000"/>
          <w:sz w:val="20"/>
          <w:szCs w:val="20"/>
          <w:lang w:val="en-US"/>
        </w:rPr>
      </w:pPr>
      <w:r>
        <w:rPr>
          <w:rFonts w:ascii="Palatino Linotype" w:hAnsi="Palatino Linotype"/>
          <w:color w:val="000000"/>
          <w:sz w:val="20"/>
          <w:szCs w:val="20"/>
          <w:lang w:val="en-US"/>
        </w:rPr>
        <w:t xml:space="preserve">Manajemen terapi </w:t>
      </w:r>
      <w:r w:rsidRPr="001C2389">
        <w:rPr>
          <w:rFonts w:ascii="Palatino Linotype" w:hAnsi="Palatino Linotype"/>
          <w:color w:val="000000"/>
          <w:sz w:val="20"/>
          <w:szCs w:val="20"/>
          <w:lang w:val="en-US"/>
        </w:rPr>
        <w:t xml:space="preserve">Sindrom Evans primer ini tidak termasuk pasien dengan limfoma yang mendasari atau beberapa imunodefisiensi tertentu, di mana penggunaan rituximab dan/atau splenektomi mungkin kontraindikasi. </w:t>
      </w:r>
      <w:r w:rsidR="008E1C69" w:rsidRPr="008E1C69">
        <w:rPr>
          <w:rFonts w:ascii="Palatino Linotype" w:hAnsi="Palatino Linotype"/>
          <w:color w:val="000000"/>
          <w:sz w:val="20"/>
          <w:szCs w:val="20"/>
          <w:lang w:val="en-US"/>
        </w:rPr>
        <w:t>Pada kajian naratif ini akan dibahas mengenai pemilihan obat pada sindrom Evans yang primer, dengan fokus pada pendekatan terapi yang meliputi penggunaan kortikosteroid, imunoglobulin intravena (IVIG), agen imunosupresif, serta opsi pengobatan lini kedua dan ketiga sesuai dengan kondisi klinis pasie</w:t>
      </w:r>
      <w:r w:rsidR="008E1C69">
        <w:rPr>
          <w:rFonts w:ascii="Palatino Linotype" w:hAnsi="Palatino Linotype"/>
          <w:color w:val="000000"/>
          <w:sz w:val="20"/>
          <w:szCs w:val="20"/>
          <w:lang w:val="en-US"/>
        </w:rPr>
        <w:t>n</w:t>
      </w:r>
    </w:p>
    <w:p w14:paraId="4065F419" w14:textId="77777777" w:rsidR="008E1C69" w:rsidRDefault="008E1C69" w:rsidP="008E1C69">
      <w:pPr>
        <w:spacing w:after="0" w:line="240" w:lineRule="auto"/>
        <w:ind w:left="360" w:firstLine="349"/>
        <w:jc w:val="both"/>
        <w:rPr>
          <w:rFonts w:ascii="Palatino Linotype" w:hAnsi="Palatino Linotype"/>
          <w:color w:val="000000"/>
          <w:sz w:val="20"/>
          <w:szCs w:val="20"/>
          <w:lang w:val="en-US"/>
        </w:rPr>
      </w:pPr>
    </w:p>
    <w:p w14:paraId="251D9482" w14:textId="77777777" w:rsidR="000C4A43" w:rsidRDefault="000C4A43" w:rsidP="000C4A43">
      <w:pPr>
        <w:spacing w:after="0" w:line="240" w:lineRule="auto"/>
        <w:ind w:left="360" w:firstLine="349"/>
        <w:jc w:val="center"/>
        <w:rPr>
          <w:rFonts w:ascii="Palatino Linotype" w:hAnsi="Palatino Linotype"/>
          <w:color w:val="000000"/>
          <w:sz w:val="20"/>
          <w:szCs w:val="20"/>
          <w:lang w:val="en-US"/>
        </w:rPr>
      </w:pPr>
    </w:p>
    <w:p w14:paraId="1827115B" w14:textId="77777777" w:rsidR="00671059" w:rsidRDefault="00671059" w:rsidP="000C4A43">
      <w:pPr>
        <w:spacing w:after="0" w:line="240" w:lineRule="auto"/>
        <w:ind w:left="360" w:firstLine="349"/>
        <w:jc w:val="center"/>
        <w:rPr>
          <w:rFonts w:ascii="Palatino Linotype" w:hAnsi="Palatino Linotype"/>
          <w:color w:val="000000"/>
          <w:sz w:val="20"/>
          <w:szCs w:val="20"/>
          <w:lang w:val="en-US"/>
        </w:rPr>
      </w:pPr>
    </w:p>
    <w:p w14:paraId="5A792763" w14:textId="77777777" w:rsidR="00671059" w:rsidRDefault="00671059" w:rsidP="000C4A43">
      <w:pPr>
        <w:spacing w:after="0" w:line="240" w:lineRule="auto"/>
        <w:ind w:left="360" w:firstLine="349"/>
        <w:jc w:val="center"/>
        <w:rPr>
          <w:rFonts w:ascii="Palatino Linotype" w:hAnsi="Palatino Linotype"/>
          <w:color w:val="000000"/>
          <w:sz w:val="20"/>
          <w:szCs w:val="20"/>
          <w:lang w:val="en-US"/>
        </w:rPr>
      </w:pPr>
    </w:p>
    <w:p w14:paraId="26D0C379" w14:textId="77777777" w:rsidR="00671059" w:rsidRPr="00C54D8C" w:rsidRDefault="00671059" w:rsidP="000C4A43">
      <w:pPr>
        <w:spacing w:after="0" w:line="240" w:lineRule="auto"/>
        <w:ind w:left="360" w:firstLine="349"/>
        <w:jc w:val="center"/>
        <w:rPr>
          <w:rFonts w:ascii="Palatino Linotype" w:hAnsi="Palatino Linotype"/>
          <w:color w:val="000000"/>
          <w:sz w:val="20"/>
          <w:szCs w:val="20"/>
          <w:lang w:val="en-US"/>
        </w:rPr>
      </w:pPr>
    </w:p>
    <w:p w14:paraId="644E58E5" w14:textId="3AED3565" w:rsidR="00C54D8C" w:rsidRPr="00C54D8C" w:rsidRDefault="00C54D8C" w:rsidP="00C54D8C">
      <w:pPr>
        <w:spacing w:after="0" w:line="240" w:lineRule="auto"/>
        <w:jc w:val="both"/>
        <w:rPr>
          <w:rFonts w:ascii="Palatino" w:hAnsi="Palatino" w:cs="Times New Roman"/>
          <w:bCs/>
          <w:sz w:val="20"/>
          <w:szCs w:val="20"/>
        </w:rPr>
      </w:pPr>
    </w:p>
    <w:p w14:paraId="0B78D34A" w14:textId="354E6299" w:rsidR="008E1C69" w:rsidRPr="00D142BD" w:rsidRDefault="008E1C69" w:rsidP="0083570B">
      <w:p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lastRenderedPageBreak/>
        <w:t>PILIHAN OBAT PADA SINDROM EVANS</w:t>
      </w:r>
    </w:p>
    <w:p w14:paraId="7DB82986" w14:textId="56AE2AFD" w:rsidR="0083570B" w:rsidRDefault="008E1C69" w:rsidP="008E1C69">
      <w:pPr>
        <w:pStyle w:val="ListParagraph"/>
        <w:numPr>
          <w:ilvl w:val="0"/>
          <w:numId w:val="44"/>
        </w:num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t xml:space="preserve">Lini Pertama </w:t>
      </w:r>
    </w:p>
    <w:p w14:paraId="7E591369" w14:textId="5504CAEA" w:rsidR="008E1C69" w:rsidRDefault="008E1C69" w:rsidP="008E1C69">
      <w:pPr>
        <w:pStyle w:val="ListParagraph"/>
        <w:numPr>
          <w:ilvl w:val="0"/>
          <w:numId w:val="45"/>
        </w:num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t xml:space="preserve">Kortikosteroid </w:t>
      </w:r>
    </w:p>
    <w:p w14:paraId="73F63C0D" w14:textId="182B9225" w:rsidR="00CA02AA" w:rsidRDefault="00CA02AA" w:rsidP="0064781D">
      <w:pPr>
        <w:pStyle w:val="ListParagraph"/>
        <w:spacing w:after="0" w:line="240" w:lineRule="auto"/>
        <w:ind w:left="709" w:firstLine="371"/>
        <w:jc w:val="both"/>
        <w:rPr>
          <w:rFonts w:ascii="Palatino Linotype" w:hAnsi="Palatino Linotype"/>
          <w:color w:val="000000"/>
          <w:sz w:val="20"/>
          <w:szCs w:val="20"/>
          <w:lang w:val="en-US"/>
        </w:rPr>
      </w:pPr>
      <w:r w:rsidRPr="00CA02AA">
        <w:rPr>
          <w:rFonts w:ascii="Palatino Linotype" w:hAnsi="Palatino Linotype"/>
          <w:color w:val="000000"/>
          <w:sz w:val="20"/>
          <w:szCs w:val="20"/>
          <w:lang w:val="en-US"/>
        </w:rPr>
        <w:t>Kortikosteroid tetap menjadi andalan terapi untuk mengendalikan sitopenia simptomatik akut, dengan hasil awal yang baik, meskipun kurangnya uji coba terkontrol yang secara definitif menunjukkan kemanjurannya</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{"citationItems":[{"id":"ITEM-1","itemData":{"DOI":"10.1016/j.bjhh.2015.03.002","ISSN":"18060870","abstract":"Objective: To document the experience of one referral service with patients diagnosed with Evans syndrome, the treatment and response and to briefly review current treatment strategies and results. Methods: Patients enrolled in this study fulfilled criteria for Evans syndrome. Data were retrieved from the clinical files and electronic databases of the Department of Hematology, Hospital Universitario \"Dr. José Eleuterio González\". Treatment modalities and response and the use of additional therapies were evaluated. The literature was reviewed in the context of the clinical course of the studied patients. Results: Six patients were diagnosed with Evans syndrome in the study period. Patient 1 was treated with steroids, relapsed twice and was again treated with steroids. Patient 2 treated initially with steroids plus intravenous immunoglobulin was subsequently lost to follow-up. A good response was achieved in Patients 3 and 4, who were treated with steroids plus rituximab; patient 4 also received danazol as a second-line therapy. However both relapsed and subsequently underwent splenectomy at ten and nine months, respectively. One patient, number 5, treated with steroids, danazol and rituximab did not relapse within four years of follow-up and Patient 6, who received steroids plus danazol did not relapse within three years of follow-up. Conclusion: Evans syndrome is an uncommon hematologic condition rarely diagnosed and not widely studied. Clinicians must have it in mind when evaluating a patient with a positive direct antiglobulin test, anemia and thrombocytopenia, since prognosis depends on its early recognition and opportune therapy, but even this leads to variable results.","author":[{"dropping-particle":"","family":"Jaime-Pérez","given":"José Carlos","non-dropping-particle":"","parse-names":false,"suffix":""},{"dropping-particle":"","family":"Guerra-Leal","given":"Liliana Nataly","non-dropping-particle":"","parse-names":false,"suffix":""},{"dropping-particle":"","family":"López-Razo","given":"Olga Nidia","non-dropping-particle":"","parse-names":false,"suffix":""},{"dropping-particle":"","family":"Méndez-Ramírez","given":"Nereida","non-dropping-particle":"","parse-names":false,"suffix":""},{"dropping-particle":"","family":"Gómez-Almaguer","given":"David","non-dropping-particle":"","parse-names":false,"suffix":""}],"container-title":"Revista Brasileira de Hematologia e Hemoterapia","id":"ITEM-1","issue":"4","issued":{"date-parts":[["2015"]]},"page":"230-235","publisher":"Associação Brasileira de Hematologia, Hemoterapia e Terapia Celular","title":"Experience with Evans syndrome in an academic referral center","type":"article-journal","volume":"37"},"uris":["http://www.mendeley.com/documents/?uuid=1a688f16-7ade-4718-a9c4-c2b6227dcbde","http://www.mendeley.com/documents/?uuid=279a9aab-6246-4f65-8b9e-e9192a8b391a"]}],"mendeley":{"formattedCitation":"[14]","plainTextFormattedCitation":"[14]","previouslyFormattedCitation":"(14)"},"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[14]</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r w:rsidRPr="00CA02AA">
        <w:rPr>
          <w:rFonts w:ascii="Palatino Linotype" w:hAnsi="Palatino Linotype"/>
          <w:color w:val="000000"/>
          <w:sz w:val="20"/>
          <w:szCs w:val="20"/>
          <w:lang w:val="en-US"/>
        </w:rPr>
        <w:t>Steroid mampu menghambat kemampuan makrofag dalam membersihkan trombosit dan eritrosit melalui aktivitas sel B dan sel T, sehingga mengurangi produksi autoantibodi yang berperan dalam penghancuran sel darah yang dimediasi imun. Selain itu, steroid juga mengurangi aktivitas fagositosis dengan menurunkan kemampuan makrofag di limpa dan hati untuk mengenali serta menghancurkan sel darah yang dilapisi antibodi, sehingga mengurangi hemolisis dan trombositopenia</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{"citationItems":[{"id":"ITEM-1","itemData":{"DOI":"10.1182/blood.v79.4.942.bloodjournal794942","ISSN":"00064971","PMID":"1737103","abstract":"To determine the mechanism by which platelet counts increase after corticosteroid therapy for human immune thrombocytopenic purpura (ITP), we studied the platelet kinetics using prednisolone (PDN)-treated ITP-prone mice, (NZW x BXSB) F1 (W/B F1). An increase in platelet counts was observed in W/B F1 mice (n = 10, mean ± SD, 1,202 ± 202 x 103/μL) 4 weeks after treatment with PDN (2 mg/ kg/d); no increase occurred in nontreated W/B F1 mice (n = 5, 651 ± 126, P &lt; .005). Prolonged platelet life-spans (PLSs) were observed in treated W/B F1 mice (1.29 ± 0.40 days), but not in nontreated controls (0.60 ± 0.24 days, P &lt; .01). No increase in platelet production (platelet turnover) was found in PDN-treated W/B F1 mice, but significant decreases in platelet-associated antibodies (PAAs) and platelet-bindable serum antibodies (PBAs) were noted. Studies on organ localization of radiolabeled platelets showed that hepatic uptake significantly decreased in the treated W/B F1 mice, but not in nontreated W/B F1 mice. To elucidate the effect of PDN on the reticulo-endothelial phagocytic activity in W/B F1 mice, we studied in vivo clearance of IgG-sensitized, 51Cr-labeled autologous erythrocytes. W/B F1 mice treated with PDN showed a marked impairment of their ability to clear these cells, although PDN had little effect on the number of splenic or hepatic macrophage Fcγ receptors. These results and our previous findings of splenectomy suggest that PDN improves platelet counts not only by suppressing systemic reticulo-endothelial phagocytic function but also by reducing antibody production. © 1992 by The American Society of Hematology.","author":[{"dropping-particle":"","family":"Mizutani","given":"Hajime","non-dropping-particle":"","parse-names":false,"suffix":""},{"dropping-particle":"","family":"Furubayashi","given":"Takayasu","non-dropping-particle":"","parse-names":false,"suffix":""},{"dropping-particle":"","family":"Imai","given":"Yumiko","non-dropping-particle":"","parse-names":false,"suffix":""},{"dropping-particle":"","family":"Kashiwagi","given":"Hirokazu","non-dropping-particle":"","parse-names":false,"suffix":""},{"dropping-particle":"","family":"Honda","given":"Shigenori","non-dropping-particle":"","parse-names":false,"suffix":""},{"dropping-particle":"","family":"Take","given":"Hironori","non-dropping-particle":"","parse-names":false,"suffix":""},{"dropping-particle":"","family":"Kurata","given":"Yoshiyuki","non-dropping-particle":"","parse-names":false,"suffix":""},{"dropping-particle":"","family":"Yonezawa","given":"Takeshi","non-dropping-particle":"","parse-names":false,"suffix":""},{"dropping-particle":"","family":"Tarui","given":"Seiichiro","non-dropping-particle":"","parse-names":false,"suffix":""},{"dropping-particle":"","family":"Ikehara","given":"Susumu","non-dropping-particle":"","parse-names":false,"suffix":""}],"container-title":"Blood","id":"ITEM-1","issue":"4","issued":{"date-parts":[["1992"]]},"page":"942-947","title":"Mechanisms of corticosteroid action in immune thrombocytopenic purpura (ITP): Experimental studies using ITP-prone mice, (NZW x BXSB) F1","type":"article-journal","volume":"79"},"uris":["http://www.mendeley.com/documents/?uuid=8a1e09cd-cdf6-4f8d-b4a5-7a8b28a53ae1","http://www.mendeley.com/documents/?uuid=5d14830e-e11d-4ae6-ac96-fb9e3464e9c7"]}],"mendeley":{"formattedCitation":"[23]","plainTextFormattedCitation":"[23]","previouslyFormattedCitation":"(23)"},"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[23]</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716011A6" w14:textId="48E9C6F6" w:rsidR="005A4847" w:rsidRDefault="005A4847" w:rsidP="0064781D">
      <w:pPr>
        <w:pStyle w:val="ListParagraph"/>
        <w:spacing w:after="0" w:line="240" w:lineRule="auto"/>
        <w:ind w:left="709" w:firstLine="371"/>
        <w:jc w:val="both"/>
        <w:rPr>
          <w:rFonts w:ascii="Palatino Linotype" w:hAnsi="Palatino Linotype"/>
          <w:color w:val="000000"/>
          <w:sz w:val="20"/>
          <w:szCs w:val="20"/>
          <w:lang w:val="en-US"/>
        </w:rPr>
      </w:pPr>
      <w:r w:rsidRPr="005A4847">
        <w:rPr>
          <w:rFonts w:ascii="Palatino Linotype" w:hAnsi="Palatino Linotype"/>
          <w:color w:val="000000"/>
          <w:sz w:val="20"/>
          <w:szCs w:val="20"/>
          <w:lang w:val="en-US"/>
        </w:rPr>
        <w:t>Pada anak-anak dan orang dewasa dengan sindrom Evans setidaknya mencapai respons parsial terhadap terapi kortikosteroid hingga 80% dari waktu ke waktu. Tingkat respons ini tampaknya dapat dipertahankan dengan pemberian steroid berulang pada kasus autoimun yang kambuh. Namun, pengobatan sitopenia autoimun yang kambuh kronis pada ES, serta kebutuhan durasi pengobatan yang lebih lama, memerlukan pertimbangan strategi pengobatan alternatif untuk menghindari terapi kortikosteroid berkepanjangan dan efek samping jangka pendek maupun jangka panjang</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{"citationItems":[{"id":"ITEM-1","itemData":{"DOI":"10.1007/978-3-319-73269-5_2","ISBN":"9783319732695","author":[{"dropping-particle":"","family":"Kim","given":"Taylor Olmsted","non-dropping-particle":"","parse-names":false,"suffix":""}],"container-title":"Immune Hematology: Diagnosis and Management of Autoimmune Cytopenias","id":"ITEM-1","issued":{"date-parts":[["2018"]]},"number-of-pages":"17-33","title":"Pathophysiology of immune thrombocytopenia","type":"book"},"uris":["http://www.mendeley.com/documents/?uuid=5db4ecde-991f-4771-bb35-a9e8f49b8059","http://www.mendeley.com/documents/?uuid=68b419a8-9e7a-4117-8229-4777d43fda56"]}],"mendeley":{"formattedCitation":"[13]","plainTextFormattedCitation":"[13]","previouslyFormattedCitation":"(13)"},"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[13]</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r w:rsidRPr="005A4847">
        <w:rPr>
          <w:rFonts w:ascii="Palatino Linotype" w:hAnsi="Palatino Linotype"/>
          <w:color w:val="000000"/>
          <w:sz w:val="20"/>
          <w:szCs w:val="20"/>
          <w:lang w:val="en-US"/>
        </w:rPr>
        <w:t xml:space="preserve">Prednison atau prednisolone diberikan pada dosis 1-2 mg/kg/hari untuk seluruh kasus dengan manifestasi klinis yang parah, dengan dosis awal 4-6 mg/kg/hari dalam 72 jam pertama. Tingkat respons awal yang didokumentasikan pada pasien yang menerima steroid pada dosis ini adalah sekitar 82%–83%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10.1016/j.hoc.2021.12.004","ISSN":"15581977","PMID":"35282950","author":[{"dropping-particle":"","family":"Michel","given":"Marc","non-dropping-particle":"","parse-names":false,"suffix":""}],"container-title":"Hematology/Oncology Clinics of North America","id":"ITEM-1","issue":"2","issued":{"date-parts":[["2022"]]},"page":"381-392","publisher":"Elsevier Inc.","title":"Adult Evans' Syndrome","type":"article-journal","volume":"36"},"uris":["http://www.mendeley.com/documents/?uuid=8e44b75e-01a5-452e-9eca-30e9a184b3df","http://www.mendeley.com/documents/?uuid=eadc2344-ac31-4a54-91e9-599c97aac1b0"]}],"mendeley":{"formattedCitation":"[3]","plainTextFormattedCitation":"[3]","previouslyFormattedCitation":"(3)"},"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[3]</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r w:rsidRPr="005A4847">
        <w:rPr>
          <w:rFonts w:ascii="Palatino Linotype" w:hAnsi="Palatino Linotype"/>
          <w:color w:val="000000"/>
          <w:sz w:val="20"/>
          <w:szCs w:val="20"/>
          <w:lang w:val="en-US"/>
        </w:rPr>
        <w:t>Regimen megadosis juga digunakan, misalnya prednisolon 30 mg/kg/hari selama 3 hari, kemudian 20 mg/kg/hari selama 4 hari, diikuti dengan penurunan bertahap dosis menjadi 10, 5, 2, dan 1 mg/kg/minggu, yang sebagian besar pasien menunjukkan respons lengkap. Durasi pengobatan bergantung pada tipe ES yang dialami pasien; ES-trombositopenia memerlukan pengurangan dosis cepat selama satu minggu, sedangkan ES-anemia memerlukan pengurangan dosis secara perlahan selama enam bula</w:t>
      </w:r>
      <w:r>
        <w:rPr>
          <w:rFonts w:ascii="Palatino Linotype" w:hAnsi="Palatino Linotype"/>
          <w:color w:val="000000"/>
          <w:sz w:val="20"/>
          <w:szCs w:val="20"/>
          <w:lang w:val="en-US"/>
        </w:rPr>
        <w:t xml:space="preserve">n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{"citationItems":[{"id":"ITEM-1","itemData":{"DOI":"10.3390/jcm9123851","ISSN":"20770383","PMID":"33260979","abstract":"Evans’ syndrome (ES) is defined as the concomitant or sequential association of warm auto-immune haemolytic anaemia (AIHA) with immune thrombocytopenia (ITP), and less frequently autoimmune neutropenia. ES is a rare situation that represents up to 7% of AIHA and around 2% of ITP. When AIHA and ITP occurred concomitantly, the diagnosis procedure must rule out differential diagnoses such as thrombotic microangiopathies, anaemia due to bleedings complicating ITP, vitamin deficiencies, myelodysplastic syndromes, paroxysmal nocturnal haemoglobinuria, or specific conditions like HELLP when occurring during pregnancy. As for isolated auto-immune cytopenia (AIC), the determination of the primary or secondary nature of ES is important. Indeed, the association of ES with other diseases such as haematological malignancies, systemic lupus erythematosus, infections, or primary immune deficiencies can interfere with its management or alter its prognosis. Due to the rarity of the disease, the treatment of ES is mostly extrapolated from what is recommended for isolated AIC and mostly relies on corticosteroids, rituximab, splenectomy, and supportive therapies. The place for thrombopoietin receptor agonists, erythropoietin, immunosuppressants, haematopoietic cell transplantation, and thromboprophylaxis is also discussed in this review. Despite continuous progress in the management of AIC and a gradual increase in ES survival, the mortality due to ES remains higher than the ones of isolated AIC, supporting the need for an improvement in ES management.","author":[{"dropping-particle":"","family":"Audia","given":"Sylvain","non-dropping-particle":"","parse-names":false,"suffix":""},{"dropping-particle":"","family":"Grienay","given":"Natacha","non-dropping-particle":"","parse-names":false,"suffix":""},{"dropping-particle":"","family":"Mounier","given":"Morgane","non-dropping-particle":"","parse-names":false,"suffix":""},{"dropping-particle":"","family":"Michel","given":"Marc","non-dropping-particle":"","parse-names":false,"suffix":""},{"dropping-particle":"","family":"Bonnotte","given":"Bernard","non-dropping-particle":"","parse-names":false,"suffix":""}],"container-title":"Journal of Clinical Medicine","id":"ITEM-1","issue":"12","issued":{"date-parts":[["2020"]]},"page":"1-22","title":"Evans’ syndrome: From diagnosis to treatment","type":"article-journal","volume":"9"},"uris":["http://www.mendeley.com/documents/?uuid=99e78dbf-8a8f-430b-bddb-a451279d1d77","http://www.mendeley.com/documents/?uuid=f8d1607d-9bb7-46ae-a3a5-b5dfe5fe482b"]},{"id":"ITEM-2","itemData":{"DOI":"10.1111/j.1365-2141.2005.05809.x","ISSN":"00071048","PMID":"16398647","abstract":"Evans syndrome is an uncommon condition defined by the combination (either simultaneously or sequentially) of immune thrombocytopenia (ITP) and autoimmune haemolytic anaemia (AIHA) with a positive direct antiglobulin test (DAT) in the absence of known underlying aetiology. This condition generally runs a chronic course and is characterised by frequent exacerbations and remissions. First-line therapy is usually corticosteroids and/or intravenous immunoglobulin, to which most patients respond; however, relapse is frequent. Options for second-line therapy include immunosuppressive drugs, especially ciclosporin or mycophenolate mofetil; vincristine; danazol or a combination of these agents. More recently a small number of patients have been treated with rituximab, which induces remission in the majority although such responses are often sustained for &lt;12 months and the long-term effects in children are unclear. Splenectomy may also be considered although long-term remissions are less frequent than in uncomplicated ITP. For very severe and refractory cases stem cell transplantation (SCT) offers the only chance of long-term cure. The limited data available suggest that allogeneic SCT may be superior to autologous SCT but both carry risks of severe morbidity and of transplant-related mortality. Cure following reduced-intensity conditioning has now been reported and should be considered for younger patients in the context of controlled clinical trials. © 2005 Blackwell Publishing Ltd.","author":[{"dropping-particle":"","family":"Norton","given":"Alice","non-dropping-particle":"","parse-names":false,"suffix":""},{"dropping-particle":"","family":"Roberts","given":"Irene","non-dropping-particle":"","parse-names":false,"suffix":""}],"container-title":"British Journal of Haematology","id":"ITEM-2","issue":"2","issued":{"date-parts":[["2006"]]},"page":"125-137","title":"Management of Evans syndrome","type":"article-journal","volume":"132"},"uris":["http://www.mendeley.com/documents/?uuid=5dfad90c-80b1-4122-88fe-26a3116b5e10","http://www.mendeley.com/documents/?uuid=1e811a28-48b4-4bc7-b8ab-a0856ed2036a","http://www.mendeley.com/documents/?uuid=a50e208e-6578-44f8-87b5-4144a8770b25"]}],"mendeley":{"formattedCitation":"[2,19]","plainTextFormattedCitation":"[2,19]","previouslyFormattedCitation":"(2,19)"},"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[2,19]</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5E0E41ED" w14:textId="672D0077" w:rsidR="005A4847" w:rsidRPr="005A4847" w:rsidRDefault="005A4847" w:rsidP="0064781D">
      <w:pPr>
        <w:pStyle w:val="ListParagraph"/>
        <w:spacing w:after="0" w:line="240" w:lineRule="auto"/>
        <w:ind w:left="709" w:firstLine="371"/>
        <w:jc w:val="both"/>
        <w:rPr>
          <w:rFonts w:ascii="Palatino Linotype" w:hAnsi="Palatino Linotype"/>
          <w:color w:val="000000"/>
          <w:sz w:val="20"/>
          <w:szCs w:val="20"/>
          <w:lang w:val="en-US"/>
        </w:rPr>
      </w:pPr>
      <w:r w:rsidRPr="005A4847">
        <w:rPr>
          <w:rFonts w:ascii="Palatino Linotype" w:hAnsi="Palatino Linotype"/>
          <w:color w:val="000000"/>
          <w:sz w:val="20"/>
          <w:szCs w:val="20"/>
          <w:lang w:val="en-US"/>
        </w:rPr>
        <w:t xml:space="preserve">Pada kasus yang parah dan mengancam jiwa, suntikan metilprednisolon hingga 15 mg/kg/hari atau metilprednisolon intravena 100–200 mg/hari selama 10–14 hari, atau 250–1000 mg/hari selama 1–3 hari, serta deksametason dosis 40 mg/hari selama 4 hari, telah digunakan untuk ITP terisolasi. Terapi ini menghasilkan respons yang lebih cepat, namun hasil jangka panjangnya serupa dengan prednison. Respons klinis yang baik ditandai dengan jumlah trombosit dan konsentrasi hemoglobin lebih dari 10 g/dL, yang biasanya tercapai pada minggu kedua. </w:t>
      </w:r>
      <w:r w:rsidRPr="000E3166">
        <w:rPr>
          <w:rFonts w:ascii="Palatino Linotype" w:hAnsi="Palatino Linotype"/>
          <w:color w:val="000000"/>
          <w:sz w:val="20"/>
          <w:szCs w:val="20"/>
          <w:lang w:val="sv-SE"/>
        </w:rPr>
        <w:t xml:space="preserve">Jika tidak ada perbaikan signifikan pada minggu ketiga, terapi dianggap tidak efektif. Jika respons lengkap tercapai, pengurangan dosis steroid harus dilakukan secara perlahan dalam waktu enam bulan untuk menghindari efek samping. Setelah hemoglobin stabil, prednison dikurangi secara bertahap, mulai dari pengurangan 10–15 mg per minggu hingga dosis harian 20–30 mg, kemudian 5 mg setiap 1–2 minggu hingga dosis 15 mg, dan selanjutnya 2,5 mg setiap dua minggu dengan tujuan menghentikan obat. Pada pasien dengan respons parsial, dosis awal prednisolon harus dilanjutkan selama dua minggu berturut-turut. Hilangnya respons terutama terkait dengan pengurangan dosis steroid atau infeksi virus. </w:t>
      </w:r>
      <w:r w:rsidRPr="000E3166">
        <w:rPr>
          <w:rFonts w:ascii="Palatino Linotype" w:hAnsi="Palatino Linotype"/>
          <w:color w:val="000000"/>
          <w:sz w:val="20"/>
          <w:szCs w:val="20"/>
          <w:lang w:val="pt-PT"/>
        </w:rPr>
        <w:t xml:space="preserve">Jika tidak ada respons yang tercapai, terapi lini kedua wajib dimulai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pt-PT"/>
        </w:rPr>
        <w:instrText>ADDIN CSL_CITATION {"citationItems":[{"id":"ITEM-1","itemData":{"DOI":"10.3324/haematol.2014.114561","ISSN":"15928721","PMID":"25271314","abstract":"Autoimmune hemolytic anemia (AIHA) is a relatively uncommon disorder caused by autoantibodies directed against self red blood cells. It can be idiopathic or secondary, and classified as warm, cold (cold hemagglutinin disease (CAD) and paroxysmal cold hemoglobinuria) or mixed, according to the thermal range of the autoantibody. AIHA may develop gradually, or have a fulminant onset with life-threatening anemia. The treatment of AIHA is still not evidence-based. The first-line therapy for warm AIHA are corticosteroids, which are effective in 70-85% of patients and should be slowly tapered over a time period of 6-12 months. For refractory/relapsed cases, the current sequence of second-line therapy is splenectomy (effective approx. in 2 out of 3 cases but with a presumed cure rate of up to 20%), rituximab (effective in approx. 80-90% of cases), and thereafter any of the immunosuppressive drugs (azathioprine, cyclophosphamide, cyclosporin, mycophenolate mofetil). Additional therapies are intravenous immunoglobulins, danazol, plasma-exchange, and alemtuzumab and high-dose cyclophosphamide as last resort option. As the experience with rituximab evolves, it is likely that this drug will be located at an earlier point in therapy of warm AIHA, before more toxic immunosuppressants, and in place of splenectomy in some cases. In CAD, rituximab is now recommended as first-line treatment.","author":[{"dropping-particle":"","family":"Zanella","given":"Alberto","non-dropping-particle":"","parse-names":false,"suffix":""},{"dropping-particle":"","family":"Barcellini","given":"Wilma","non-dropping-particle":"","parse-names":false,"suffix":""}],"container-title":"Haematologica","id":"ITEM-1","issue":"10","issued":{"date-parts":[["2014"]]},"page":"1547-1554","title":"Treatment of autoimmune hemolytic anemias","type":"article-journal","volume":"99"},"uris":["http://www.mendeley.com/documents/?uuid=8345b195-8228-48a2-a1af-c3a024816803","http://www.mendeley.com/documents/?uuid=21eb82b4-53f8-4ab7-926c-ed675d97ac54"]},{"id":"ITEM-2","itemData":{"DOI":"10.1016/j.bjhh.2015.03.002","ISSN":"18060870","abstract":"Objective: To document the experience of one referral service with patients diagnosed with Evans syndrome, the treatment and response and to briefly review current treatment strategies and results. Methods: Patients enrolled in this study fulfilled criteria for Evans syndrome. Data were retrieved from the clinical files and electronic databases of the Department of Hematology, Hospital Universitario \"Dr. José Eleuterio González\". Treatment modalities and response and the use of additional therapies were evaluated. The literature was reviewed in the context of the clinical course of the studied patients. Results: Six patients were diagnosed with Evans syndrome in the study period. Patient 1 was treated with steroids, relapsed twice and was again treated with steroids. Patient 2 treated initially with steroids plus intravenous immunoglobulin was subsequently lost to follow-up. A good response was achieved in Patients 3 and 4, who were treated with steroids plus rituximab; patient 4 also received danazol as a second-line therapy. However both relapsed and subsequently underwent splenectomy at ten and nine months, respectively. One patient, number 5, treated with steroids, danazol and rituximab did not relapse within four years of follow-up and Patient 6, who received steroids plus danazol did not relapse within three years of follow-up. Conclusion: Evans syndrome is an uncommon hematologic condition rarely diagnosed and not widely studied. Clinicians must have it in mind when evaluating a patient with a positive direct antiglobulin test, anemia and thrombocytopenia, since prognosis depends on its early recognition and opportune therapy, but even this leads to variable results.","author":[{"dropping-particle":"","family":"Jaime-Pérez","given":"José Carlos","non-dropping-particle":"","parse-names":false,"suffix":""},{"dropping-particle":"","family":"Guerra-Leal","given":"Liliana Nataly","non-dropping-particle":"","parse-names":false,"suffix":""},{"dropping-particle":"","family":"López-Razo","given":"Olga Nidia","non-dropping-particle":"","parse-names":false,"suffix":""},{"dropping-particle":"","family":"Méndez-Ramírez","given":"Nereida","non-dropping-particle":"","parse-names":false,"suffix":""},{"dropping-particle":"","family":"Gómez-Almaguer","given":"David","non-dropping-particle":"","parse-names":false,"suffix":""}],"container-title":"Revista Brasileira de Hematologia e Hemoterapia","id":"ITEM-2","issue":"4","issued":{"date-parts":[["2015"]]},"page":"230-235","publisher":"Associação Brasileira de Hematologia, Hemoterapia e Terapia Celular","title":"Experience with Evans syndrome in an academic referral center","type":"article-journal","volume":"37"},"uris":["http://www.mendeley.com/documents/?uuid=1a688f16-7ade-4718-a9c4-c2b6227dcbde","http://www.mendeley.com/documents/?uuid=279a9aab-6246-4f65-8b9e-e9192a8b391a"]}],"mendeley":{"formattedCitation":"[14,24]","plainTextFormattedCitation":"[14,24]","previouslyFormattedCitation":"(14,24)"},"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pt-PT"/>
        </w:rPr>
        <w:t>[14,24]</w:t>
      </w:r>
      <w:r>
        <w:rPr>
          <w:rFonts w:ascii="Palatino Linotype" w:hAnsi="Palatino Linotype"/>
          <w:color w:val="000000"/>
          <w:sz w:val="20"/>
          <w:szCs w:val="20"/>
          <w:lang w:val="en-US"/>
        </w:rPr>
        <w:fldChar w:fldCharType="end"/>
      </w:r>
      <w:r w:rsidRPr="00475A35">
        <w:rPr>
          <w:rFonts w:ascii="Palatino Linotype" w:hAnsi="Palatino Linotype"/>
          <w:color w:val="000000"/>
          <w:sz w:val="20"/>
          <w:szCs w:val="20"/>
          <w:lang w:val="pt-PT"/>
        </w:rPr>
        <w:t xml:space="preserve">. IVIG dapat ditambahkan apabila ITP prevalen. Dalam kasus trombositopenia dominan, adanya hepatomegali dikaitkan dengan respons yang baik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pt-PT"/>
        </w:rPr>
        <w:instrText>ADDIN CSL_CITATION {"citationItems":[{"id":"ITEM-1","itemData":{"DOI":"10.2147/JBM.S176144","ISSN":"11792736","PMID":"30349415","abstract":"Evans syndrome (ES) is a rare and chronic autoimmune disease characterized by autoimmune hemolytic anemia and immune thrombocytopenic purpura with a positive direct anti-human globulin test. It is classified as primary and secondary, with the frequency in patients with autoimmune hemolytic anemia being 37%–73%. It predominates in children, mainly due to primary immunodeficiencies or autoimmune lymphoproliferative syndrome. ES during pregnancy is associated with high fetal morbidity, including severe hemolysis and intracranial bleeding with neurological sequelae and death. The clinical presentation can include fatigue, pallor, jaundice and mucosal bleeding, with remissions and exacerbations during the person’s lifetime, and acute manifestations as catastrophic bleeding and massive hemolysis. Recent molecular theories explaining the physiopathology of ES include deficiencies of CTLA-4, LRBA, TPP2 and a decreased CD4/CD8 ratio. As in other autoimmune cytopenias, there is no established evidence-based treatment and steroids are the first-line therapy, with intravenous immunoglobulin administered as a life-saving resource in cases of severe immune thrombocytopenic purpura manifestations. Second-line treatment for refractory ES includes rituximab, mofetil mycophenolate, cyclosporine, vincristine, azathioprine, sirolimus and thrombopoietin receptor agonists. In cases unresponsive to immunosuppressive agents, hematopoietic stem cell transplantation has been successful, although it is necessary to consider its potential serious adverse effects. In conclusion, ES is a disease with a heterogeneous course that remains challenging to patients and physicians, with prospective clinical trials needed to explore potential targeted therapy to achieve an improved long-term response or even a cure.","author":[{"dropping-particle":"","family":"Jaime-Pérez","given":"José Carlos","non-dropping-particle":"","parse-names":false,"suffix":""},{"dropping-particle":"","family":"Elva","given":"Patrizia","non-dropping-particle":"","parse-names":false,"suffix":""},{"dropping-particle":"","family":"Aguilar-Calderón","given":"","non-dropping-particle":"","parse-names":false,"suffix":""},{"dropping-particle":"","family":"Salazar-Cavazos","given":"Lorena","non-dropping-particle":"","parse-names":false,"suffix":""},{"dropping-particle":"","family":"Gómez-Almaguer","given":"David","non-dropping-particle":"","parse-names":false,"suffix":""}],"container-title":"Journal of Blood Medicine","id":"ITEM-1","issued":{"date-parts":[["2018"]]},"page":"171-184","title":"Evans syndrome: Clinical perspectives, biological insights and treatment modalities","type":"article-journal","volume":"9"},"uris":["http://www.mendeley.com/documents/?uuid=761b199c-2af2-4eb5-bcd8-3e906bcd2a66","http://www.mendeley.com/documents/?uuid=ccfdb421-1aec-4488-bbe0-83dd784ef9a3"]}],"mendeley":{"formattedCitation":"[1]","plainTextFormattedCitation":"[1]","previouslyFormattedCitation":"(1)"},"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[1]</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69672DED" w14:textId="429F2D24" w:rsidR="00871F6B" w:rsidRDefault="00871F6B" w:rsidP="008E1C69">
      <w:pPr>
        <w:pStyle w:val="ListParagraph"/>
        <w:numPr>
          <w:ilvl w:val="0"/>
          <w:numId w:val="45"/>
        </w:numPr>
        <w:spacing w:after="0" w:line="240" w:lineRule="auto"/>
        <w:rPr>
          <w:rFonts w:ascii="Palatino Linotype" w:hAnsi="Palatino Linotype"/>
          <w:b/>
          <w:bCs/>
          <w:color w:val="000000"/>
          <w:sz w:val="20"/>
          <w:szCs w:val="20"/>
          <w:lang w:val="en-US"/>
        </w:rPr>
      </w:pPr>
      <w:r w:rsidRPr="00871F6B">
        <w:rPr>
          <w:rFonts w:ascii="Palatino Linotype" w:hAnsi="Palatino Linotype"/>
          <w:b/>
          <w:bCs/>
          <w:i/>
          <w:iCs/>
          <w:color w:val="000000"/>
          <w:sz w:val="20"/>
          <w:szCs w:val="20"/>
          <w:lang w:val="en-US"/>
        </w:rPr>
        <w:t>Intravenous Immunoglobulin</w:t>
      </w:r>
      <w:r>
        <w:rPr>
          <w:rFonts w:ascii="Palatino Linotype" w:hAnsi="Palatino Linotype"/>
          <w:b/>
          <w:bCs/>
          <w:color w:val="000000"/>
          <w:sz w:val="20"/>
          <w:szCs w:val="20"/>
          <w:lang w:val="en-US"/>
        </w:rPr>
        <w:t xml:space="preserve"> (IVIg)</w:t>
      </w:r>
    </w:p>
    <w:p w14:paraId="14D2747B" w14:textId="1C2C1012" w:rsidR="0064781D" w:rsidRDefault="0064781D" w:rsidP="0064781D">
      <w:pPr>
        <w:pStyle w:val="ListParagraph"/>
        <w:spacing w:after="0" w:line="240" w:lineRule="auto"/>
        <w:ind w:left="709" w:firstLine="371"/>
        <w:jc w:val="both"/>
        <w:rPr>
          <w:rFonts w:ascii="Palatino Linotype" w:hAnsi="Palatino Linotype"/>
          <w:color w:val="000000"/>
          <w:sz w:val="20"/>
          <w:szCs w:val="20"/>
          <w:lang w:val="en-US"/>
        </w:rPr>
      </w:pPr>
      <w:r w:rsidRPr="0064781D">
        <w:rPr>
          <w:rFonts w:ascii="Palatino Linotype" w:hAnsi="Palatino Linotype"/>
          <w:color w:val="000000"/>
          <w:sz w:val="20"/>
          <w:szCs w:val="20"/>
          <w:lang w:val="en-US"/>
        </w:rPr>
        <w:t xml:space="preserve">IVIG dapat ditambahkan pada kasus ITP yang prevalen, terutama ketika trombositopenia mendominasi dan terdapat hepatomegali, yang dikaitkan dengan respons terapi yang baik. IVIG mengandung antibodi alami (Ab) yang berfungsi sebagai pertahanan lini pertama terhadap patogen. Obat ini merupakan imunoglobulin G (IgG3 dan IgG4) terkonsentrasi dari donor plasma manusia sehat yang bekerja dengan memblokir reseptor Fcγ pada makrofag serta memodulasi sel imun, sehingga mengurangi hemolisis dan trombositopenia, meskipun terapi ini masih kontroversial. Selain itu, dengan mengikat Fcγ pada sel imun, IVIG dapat menghambat fagositosis autoantibodi dan mengurangi aktivitas inflamasi. Kandungan lainnya meliputi protein variatif seperti IgA, IgE, IgM, dan albumin.IVIG digunakan pada sindrom Evans untuk memodulasi sistem imun dengan menyediakan antibodi gabungan dari donor sehat, yang membantu mengurangi kerusakan autoimun </w:t>
      </w:r>
      <w:r w:rsidRPr="0064781D">
        <w:rPr>
          <w:rFonts w:ascii="Palatino Linotype" w:hAnsi="Palatino Linotype"/>
          <w:color w:val="000000"/>
          <w:sz w:val="20"/>
          <w:szCs w:val="20"/>
          <w:lang w:val="en-US"/>
        </w:rPr>
        <w:lastRenderedPageBreak/>
        <w:t>pada sel darah merah dan trombosit. Terapi ini sering dipakai ketika kortikosteroid tidak efektif atau dikontraindikasikan. Di beberapa pusat, IVIG direkomendasikan sebagai pengobatan lini pertama bersama steroid, sementara di tempat lain sebagai terapi pelengkap pada pasien dengan trombositopenia berat. Penggunaan IVIG untuk ITP dibatasi pada pasien dengan jumlah trombosit rendah (&lt;30 gram/L) yang juga mengalami perdarahan signifikan</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{"citationItems":[{"id":"ITEM-1","itemData":{"DOI":"10.1155/2016/3523057","ISSN":"20420099","abstract":"Intravenous immunoglobulins (IVIGs), a mixture of variable amounts of proteins (albumin, IgG, IgM, IgA, and IgE antibodies), as well as salt, sugar, solvents, and detergents, are successfully used to treat a variety of dermatological disorders. For decades, IVIGs have been administered for treatment of infectious diseases and immune deficiencies, since they contain natural antibodies that represent a first-line defense against pathogens. Today their indication has expanded, including the off-label therapy for a variety of autoimmune and inflammatory diseases. In dermatology, IVIGs are administered for treatment of different disorders at different therapeutic regimens, mostly with higher doses then those administered for treatment of infectious diseases. The aim of this prospective review is to highlight the indications, effectiveness, side effects, and perspectives of the systemic treatment with IVIGs for patients with severe, life-threatening, and resistant to conventional therapies autoimmune or inflammatory dermatoses.","author":[{"dropping-particle":"","family":"Dourmishev","given":"Lyubomir A.","non-dropping-particle":"","parse-names":false,"suffix":""},{"dropping-particle":"V.","family":"Guleva","given":"Dimitrina","non-dropping-particle":"","parse-names":false,"suffix":""},{"dropping-particle":"","family":"Miteva","given":"Ljubka G.","non-dropping-particle":"","parse-names":false,"suffix":""}],"container-title":"International Journal of Inflammation","id":"ITEM-1","issued":{"date-parts":[["2016"]]},"publisher":"Hindawi Publishing Corporation","title":"Intravenous immunoglobulins: Mode of action and indications in autoimmune and inflammatory dermatoses","type":"article-journal","volume":"2016"},"uris":["http://www.mendeley.com/documents/?uuid=e5c36a60-9657-4277-9414-f24809bdc569","http://www.mendeley.com/documents/?uuid=2ef9e91e-c0cc-46da-a82d-0a9912889762"]},{"id":"ITEM-2","itemData":{"DOI":"10.3390/jcm9123851","ISSN":"20770383","PMID":"33260979","abstract":"Evans’ syndrome (ES) is defined as the concomitant or sequential association of warm auto-immune haemolytic anaemia (AIHA) with immune thrombocytopenia (ITP), and less frequently autoimmune neutropenia. ES is a rare situation that represents up to 7% of AIHA and around 2% of ITP. When AIHA and ITP occurred concomitantly, the diagnosis procedure must rule out differential diagnoses such as thrombotic microangiopathies, anaemia due to bleedings complicating ITP, vitamin deficiencies, myelodysplastic syndromes, paroxysmal nocturnal haemoglobinuria, or specific conditions like HELLP when occurring during pregnancy. As for isolated auto-immune cytopenia (AIC), the determination of the primary or secondary nature of ES is important. Indeed, the association of ES with other diseases such as haematological malignancies, systemic lupus erythematosus, infections, or primary immune deficiencies can interfere with its management or alter its prognosis. Due to the rarity of the disease, the treatment of ES is mostly extrapolated from what is recommended for isolated AIC and mostly relies on corticosteroids, rituximab, splenectomy, and supportive therapies. The place for thrombopoietin receptor agonists, erythropoietin, immunosuppressants, haematopoietic cell transplantation, and thromboprophylaxis is also discussed in this review. Despite continuous progress in the management of AIC and a gradual increase in ES survival, the mortality due to ES remains higher than the ones of isolated AIC, supporting the need for an improvement in ES management.","author":[{"dropping-particle":"","family":"Audia","given":"Sylvain","non-dropping-particle":"","parse-names":false,"suffix":""},{"dropping-particle":"","family":"Grienay","given":"Natacha","non-dropping-particle":"","parse-names":false,"suffix":""},{"dropping-particle":"","family":"Mounier","given":"Morgane","non-dropping-particle":"","parse-names":false,"suffix":""},{"dropping-particle":"","family":"Michel","given":"Marc","non-dropping-particle":"","parse-names":false,"suffix":""},{"dropping-particle":"","family":"Bonnotte","given":"Bernard","non-dropping-particle":"","parse-names":false,"suffix":""}],"container-title":"Journal of Clinical Medicine","id":"ITEM-2","issue":"12","issued":{"date-parts":[["2020"]]},"page":"1-22","title":"Evans’ syndrome: From diagnosis to treatment","type":"article-journal","volume":"9"},"uris":["http://www.mendeley.com/documents/?uuid=99e78dbf-8a8f-430b-bddb-a451279d1d77","http://www.mendeley.com/documents/?uuid=f8d1607d-9bb7-46ae-a3a5-b5dfe5fe482b","http://www.mendeley.com/documents/?uuid=56499364-79b2-4ca7-ac2b-a129be408500"]}],"mendeley":{"formattedCitation":"[2,22]","plainTextFormattedCitation":"[2,22]","previouslyFormattedCitation":"(2,22)"},"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[2,22]</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7ADD146D" w14:textId="3EB39863" w:rsidR="0064781D" w:rsidRDefault="0064781D" w:rsidP="0064781D">
      <w:pPr>
        <w:pStyle w:val="ListParagraph"/>
        <w:spacing w:after="0" w:line="240" w:lineRule="auto"/>
        <w:ind w:left="709" w:firstLine="371"/>
        <w:jc w:val="both"/>
        <w:rPr>
          <w:rFonts w:ascii="Palatino Linotype" w:hAnsi="Palatino Linotype"/>
          <w:color w:val="000000"/>
          <w:sz w:val="20"/>
          <w:szCs w:val="20"/>
          <w:lang w:val="en-US"/>
        </w:rPr>
      </w:pPr>
      <w:r w:rsidRPr="0064781D">
        <w:rPr>
          <w:rFonts w:ascii="Palatino Linotype" w:hAnsi="Palatino Linotype"/>
          <w:color w:val="000000"/>
          <w:sz w:val="20"/>
          <w:szCs w:val="20"/>
          <w:lang w:val="en-US"/>
        </w:rPr>
        <w:t>Awalnya, IVIG diindikasikan pada tahun 1950 untuk defisiensi imun primer, namun kini menjadi terapi penting untuk berbagai penyakit autoimun dan hematologi seperti hemofilia, hipogamaglobulinemia, penyakit von Willebrand, anemia aplastik, anemia hemolitik autoimun (AIHA), neutropenia autoimun, dan sindrom Evans, di mana IVIG merupakan sumber daya penting yang menyelamatkan nyawa pasien yang tidak terkontrol. IVIG tersedia dalam dua bentuk intravena: kering beku yang harus diencerkan dan cair siap pakai (larutan 0,5% atau 5%). Dosis tipikal untuk ITP adalah 1 g/kg pada hari pertama, dapat diulang pada hari ketiga jika trombosit tetap di bawah 30 G/L. Pada AIHA dominan, dosisnya adalah 0,4 g/kg/hari selama 4 hari, dan untuk meningkatkan respons AIHA dosis bisa sampai 5 g/kg. Meski IVIG dianggap sebagai pengobatan darurat yang tidak mengubah perjalanan penyakit, efektivitasnya pada AIHA terisolasi rendah, dengan hanya 32% pasien mengalami peningkatan hemoglobin ≥2 g/dL dan 15% mencapai respons parsial. Efek samping yang sering muncul meliputi demam, sakit kepala, kelelahan, mual, palpitasi, dan mialgia pada 20%–30% pasien. Pemberian IVIG berulang, baik sendiri atau bersama steroid, dapat berhasil. Pada anak-anak sangat muda (&lt;2 tahun), IVIG lini pertama mungkin lebih baik dibanding steroid karena risiko efek samping steroid lebih tinggi</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{"citationItems":[{"id":"ITEM-1","itemData":{"DOI":"10.1016/0002-9343(87)90547-X","ISSN":"00029343","PMID":"3118705","abstract":"Intravenous gamma globulin (IVIG) was used to treat autoimmune neutropenia of childhood and autoimmune hemolytic anemia, two autoimmune disorders not previously treated with this modality. Six children younger than two years of age, who presented with severe infections and persistent absolute neutrophil counts (300/mm3), were treated with 1 g of gamma globulin per kilo body weight until counts reached more than 1,000/mm3. The average response occurred with a dose of 3.0 g/kg within five to seven days and lasted an average of 14 days before counts decreased to baseline levels. Four patients with autoimmune hemolytic anemia were also treated with IVIG, 1 g/kg for five to seven days (average dose of 5 g/kg), for severe Coombs'-positive hemolytic anemia. Response of the hemolytic anemia to IVIG was excellent in one patient and good in two patients. No response occurred in the fourth patient. Response was slower in these patients than in patients treated for immune thrombocytopenic purpura (ITP). The average total amount of gamma globulin required for a response is markedly different: 1 g/kg for ITP, 3.0 g/kg for autoimmune neutropenia, and 5 g/kg for hemolytic anemia. Possible mechanisms of action include blockade of reticuloendothelial system Fc receptors, suppression of autoantibody production, and/or interference in the binding of autoantibodies to target cells. © 1987.","author":[{"dropping-particle":"","family":"Hilgartner","given":"Margaret W.","non-dropping-particle":"","parse-names":false,"suffix":""},{"dropping-particle":"","family":"Bussel","given":"James","non-dropping-particle":"","parse-names":false,"suffix":""}],"container-title":"The American Journal of Medicine","id":"ITEM-1","issue":"4 SUPPL. 1","issued":{"date-parts":[["1987"]]},"page":"25-29","title":"Use of intravenous gamma globulin for the treatment of autoimmune neutropenia of childhood and autoimmune hemolytic anemia","type":"article-journal","volume":"83"},"uris":["http://www.mendeley.com/documents/?uuid=a8040cdb-9f61-46f7-888c-7ca7815fdc37","http://www.mendeley.com/documents/?uuid=d1719057-9d7e-4250-b024-11a6233e3fc9"]},{"id":"ITEM-2","itemData":{"DOI":"10.1155/2016/3523057","ISSN":"20420099","abstract":"Intravenous immunoglobulins (IVIGs), a mixture of variable amounts of proteins (albumin, IgG, IgM, IgA, and IgE antibodies), as well as salt, sugar, solvents, and detergents, are successfully used to treat a variety of dermatological disorders. For decades, IVIGs have been administered for treatment of infectious diseases and immune deficiencies, since they contain natural antibodies that represent a first-line defense against pathogens. Today their indication has expanded, including the off-label therapy for a variety of autoimmune and inflammatory diseases. In dermatology, IVIGs are administered for treatment of different disorders at different therapeutic regimens, mostly with higher doses then those administered for treatment of infectious diseases. The aim of this prospective review is to highlight the indications, effectiveness, side effects, and perspectives of the systemic treatment with IVIGs for patients with severe, life-threatening, and resistant to conventional therapies autoimmune or inflammatory dermatoses.","author":[{"dropping-particle":"","family":"Dourmishev","given":"Lyubomir A.","non-dropping-particle":"","parse-names":false,"suffix":""},{"dropping-particle":"V.","family":"Guleva","given":"Dimitrina","non-dropping-particle":"","parse-names":false,"suffix":""},{"dropping-particle":"","family":"Miteva","given":"Ljubka G.","non-dropping-particle":"","parse-names":false,"suffix":""}],"container-title":"International Journal of Inflammation","id":"ITEM-2","issued":{"date-parts":[["2016"]]},"publisher":"Hindawi Publishing Corporation","title":"Intravenous immunoglobulins: Mode of action and indications in autoimmune and inflammatory dermatoses","type":"article-journal","volume":"2016"},"uris":["http://www.mendeley.com/documents/?uuid=e5c36a60-9657-4277-9414-f24809bdc569","http://www.mendeley.com/documents/?uuid=2ef9e91e-c0cc-46da-a82d-0a9912889762"]}],"mendeley":{"formattedCitation":"[22,25]","plainTextFormattedCitation":"[22,25]","previouslyFormattedCitation":"(22,25)"},"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[22,25]</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15AA260F" w14:textId="03882A71" w:rsidR="0064781D" w:rsidRDefault="0064781D" w:rsidP="0064781D">
      <w:pPr>
        <w:pStyle w:val="ListParagraph"/>
        <w:spacing w:after="0" w:line="240" w:lineRule="auto"/>
        <w:ind w:left="709" w:firstLine="371"/>
        <w:jc w:val="both"/>
        <w:rPr>
          <w:rFonts w:ascii="Palatino Linotype" w:hAnsi="Palatino Linotype"/>
          <w:color w:val="000000"/>
          <w:sz w:val="20"/>
          <w:szCs w:val="20"/>
          <w:lang w:val="en-US"/>
        </w:rPr>
      </w:pPr>
      <w:r w:rsidRPr="0064781D">
        <w:rPr>
          <w:rFonts w:ascii="Palatino Linotype" w:hAnsi="Palatino Linotype"/>
          <w:color w:val="000000"/>
          <w:sz w:val="20"/>
          <w:szCs w:val="20"/>
          <w:lang w:val="en-US"/>
        </w:rPr>
        <w:t xml:space="preserve">Penelitian terbaru dilakukan oleh Demir </w:t>
      </w:r>
      <w:r w:rsidRPr="0064781D">
        <w:rPr>
          <w:rFonts w:ascii="Palatino Linotype" w:hAnsi="Palatino Linotype"/>
          <w:i/>
          <w:iCs/>
          <w:color w:val="000000"/>
          <w:sz w:val="20"/>
          <w:szCs w:val="20"/>
          <w:lang w:val="en-US"/>
        </w:rPr>
        <w:t>et al</w:t>
      </w:r>
      <w:r w:rsidRPr="0064781D">
        <w:rPr>
          <w:rFonts w:ascii="Palatino Linotype" w:hAnsi="Palatino Linotype"/>
          <w:color w:val="000000"/>
          <w:sz w:val="20"/>
          <w:szCs w:val="20"/>
          <w:lang w:val="en-US"/>
        </w:rPr>
        <w:t>., (2021) pada pasien laki-laki berberusia 22 tahun dengan kasus sindrom Evans sekunder akibat COVID-19 yang melibatkan perkembangan anemia hemolitik autoimun (AIHA) dan trombositopenia imun (ITP) yang secara berurutan dipicu infeksi COVID-19 melalui mekanisme yang dimediasi imun termasuk mimikri molekuler dimana protein lonjakan virus menyerupai protein membrane eritrosit yang menyebabkan kerusakan autoimun pada sel darah merah dan trombosit. Pasien menunjukkan sitopenia berat segera setelah infeksi COVID-19. Hasil temuan laboratorium menemukan tes antiglobulin langsung (Coombs) positif, penanda hemolisis tinggi dengan dehidrogenase lakktat, haptoglobin rendah) dan trombositopenia. Pada kasus ini, pasien awalnya mendapat terapi steroid (methylprednisolone) untuk AIHA, transfusi eritrosit, serta terapi suportif lain sesuai protokol COVID-19 di rumah sakit. Ketika terjadi penurunan trombosit berat (hingga 8×10⁹/L) yang tidak membaik dengan transfusi trombosit, dilakukan plasmapheresis dua hari berturut-turut. Namun, jumlah trombosit tetap rendah. Karena trombositopenia berat yang persisten, terapi intravenous immunoglobulin (IVIG) diberikan dengan dosis 1 g/kg/hari selama dua hari. Setelah dua hari terapi IVIG, jumlah trombosit meningkat menjadi 24×10⁹/L dan terus membaik. Ketika trombosit &gt;50×10⁹/L, terapi antikoagulan (enoxaparin) dapat dilanjutkan kembali. Pada kontrol hari ke-5 pasca rawat inap, hemoglobin pasien 13 g/dL dan trombosit 210×10⁹/L</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{"citationItems":[{"id":"ITEM-1","itemData":{"DOI":"10.2450/2020.0221-20","ISSN":"23852070","PMID":"33263526","author":[{"dropping-particle":"","family":"Demir","given":"Nazlim Aktug","non-dropping-particle":"","parse-names":false,"suffix":""},{"dropping-particle":"","family":"Basturk","given":"Abdulkadir","non-dropping-particle":"","parse-names":false,"suffix":""},{"dropping-particle":"","family":"Ural","given":"Onur","non-dropping-particle":"","parse-names":false,"suffix":""},{"dropping-particle":"","family":"Sumer","given":"Sua","non-dropping-particle":"","parse-names":false,"suffix":""},{"dropping-particle":"","family":"Erdogdu","given":"Batuhan","non-dropping-particle":"","parse-names":false,"suffix":""},{"dropping-particle":"","family":"Kiratli","given":"Hatice E.","non-dropping-particle":"","parse-names":false,"suffix":""},{"dropping-particle":"","family":"Celik","given":"Jale B.","non-dropping-particle":"","parse-names":false,"suffix":""},{"dropping-particle":"","family":"Koplay","given":"Mustafa","non-dropping-particle":"","parse-names":false,"suffix":""},{"dropping-particle":"","family":"Vatansev","given":"Husamettin","non-dropping-particle":"","parse-names":false,"suffix":""}],"container-title":"Blood Transfusion","id":"ITEM-1","issue":"1","issued":{"date-parts":[["2021"]]},"page":"85-88","title":"A case of Evans syndrome secondary to COVID-19","type":"article-journal","volume":"19"},"uris":["http://www.mendeley.com/documents/?uuid=e11eeb6e-43c5-4856-b842-18ef59323a3c","http://www.mendeley.com/documents/?uuid=99b7d931-ee1c-4a83-a942-7d3bc880abc7"]}],"mendeley":{"formattedCitation":"[26]","plainTextFormattedCitation":"[26]","previouslyFormattedCitation":"(26)"},"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[26]</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2D7FEEB6" w14:textId="77777777" w:rsidR="0064781D" w:rsidRDefault="0064781D" w:rsidP="0064781D">
      <w:pPr>
        <w:spacing w:after="0" w:line="240" w:lineRule="auto"/>
        <w:rPr>
          <w:rFonts w:ascii="Palatino Linotype" w:hAnsi="Palatino Linotype"/>
          <w:color w:val="000000"/>
          <w:sz w:val="20"/>
          <w:szCs w:val="20"/>
          <w:lang w:val="en-US"/>
        </w:rPr>
      </w:pPr>
    </w:p>
    <w:p w14:paraId="25A12FEE" w14:textId="17236762" w:rsidR="0064781D" w:rsidRDefault="0064781D" w:rsidP="0064781D">
      <w:pPr>
        <w:pStyle w:val="ListParagraph"/>
        <w:numPr>
          <w:ilvl w:val="0"/>
          <w:numId w:val="44"/>
        </w:num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t xml:space="preserve">Lini </w:t>
      </w:r>
      <w:r w:rsidR="0089385E">
        <w:rPr>
          <w:rFonts w:ascii="Palatino Linotype" w:hAnsi="Palatino Linotype"/>
          <w:b/>
          <w:bCs/>
          <w:color w:val="000000"/>
          <w:sz w:val="20"/>
          <w:szCs w:val="20"/>
          <w:lang w:val="en-US"/>
        </w:rPr>
        <w:t>Kedua</w:t>
      </w:r>
      <w:r>
        <w:rPr>
          <w:rFonts w:ascii="Palatino Linotype" w:hAnsi="Palatino Linotype"/>
          <w:b/>
          <w:bCs/>
          <w:color w:val="000000"/>
          <w:sz w:val="20"/>
          <w:szCs w:val="20"/>
          <w:lang w:val="en-US"/>
        </w:rPr>
        <w:t xml:space="preserve"> </w:t>
      </w:r>
    </w:p>
    <w:p w14:paraId="33B891F2" w14:textId="30690EA9" w:rsidR="0064781D" w:rsidRDefault="000D153F" w:rsidP="000D153F">
      <w:pPr>
        <w:pStyle w:val="ListParagraph"/>
        <w:numPr>
          <w:ilvl w:val="0"/>
          <w:numId w:val="46"/>
        </w:num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t>Rituximab</w:t>
      </w:r>
    </w:p>
    <w:p w14:paraId="575BD225" w14:textId="524AD391" w:rsidR="000D153F" w:rsidRDefault="000D153F" w:rsidP="000D153F">
      <w:pPr>
        <w:pStyle w:val="ListParagraph"/>
        <w:spacing w:after="0" w:line="240" w:lineRule="auto"/>
        <w:ind w:left="993" w:firstLine="447"/>
        <w:jc w:val="both"/>
        <w:rPr>
          <w:rFonts w:ascii="Palatino Linotype" w:hAnsi="Palatino Linotype"/>
          <w:color w:val="000000"/>
          <w:sz w:val="20"/>
          <w:szCs w:val="20"/>
          <w:lang w:val="en-US"/>
        </w:rPr>
      </w:pPr>
      <w:r w:rsidRPr="000D153F">
        <w:rPr>
          <w:rFonts w:ascii="Palatino Linotype" w:hAnsi="Palatino Linotype"/>
          <w:color w:val="000000"/>
          <w:sz w:val="20"/>
          <w:szCs w:val="20"/>
          <w:lang w:val="en-US"/>
        </w:rPr>
        <w:t>Rituximab adalah obat antigen CD20 kimaerik yang semakin banyak digunakan sebagai pengobatan lini kedua pada ES refrakter steroid atau kambuh. Rituximab melawan CD20 yang menghabiskan sel B dalam sirlukasi dan jaringan limfoid sehingga kemanjurannya pada gangguan limfoproliferatif CD-20 positif dan mekanisme ini memainkan peran penting pada penyakit autoimun.  Rituximab diklasifikasikan sebagai antibodi monoklonal atau terapi biologis, obat yang bekerja seperti antibodi tetapi dibuat secara artifisial di laboratorium. Studi pendahuluan telah menunjukkan bahwa obat ini secara umum aman dan efektif. Obat ini memiliki efek imunosupresif dengan penipisan sel B dalam darah perifer. Mekanisme pembunuhan sel diduga bersifat terhadap toksisitas sel yang bergantung pada antibodi dan aktivasi komplemen. Penenakan sel B autoreaktif sangat penting dan berkontribusi pada remisi jangka panjang bahkan setelah jumlah sel B kembali normal</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{"citationItems":[{"id":"ITEM-1","itemData":{"DOI":"10.3346/jkms.2006.21.6.1115","ISSN":"15986357","PMID":"17179698","abstract":"Mixed type Evans syndrome is a very rare hematologic disease. Although mixed type Evans syndrome may initially respond well to steroids, this disease usually runs a chronic course with intermittent exacerbations. We describe here a 46-yr-old female with the steroid-refractory, mixed type Evans syndrome, and she had a prompt response to rituximab. She was diagnosed as having the mixed type Evans syndrome with the clinical features of symptomatic anemia, jaundice and thrombocytopenia. Prednisone therapy was commenced and her hemoglobin and platelet level returned to the normal. However, after 15 weeks, she relapsed with hemolytic anemia and thrombocytopenia. We started rituximab at the dose of 375 mg/m2 once weekly for a total of 4 doses, which was well-tolerated and this induced the normalization of hemoglobin, bilirubin and lactic dehydrogenase, and there was also a significant increase of the platelet count. Copyright © The Korean Academy of Medical Sciences.","author":[{"dropping-particle":"","family":"Chi","given":"Young Park","non-dropping-particle":"","parse-names":false,"suffix":""},{"dropping-particle":"","family":"Choon","given":"Hae Chung","non-dropping-particle":"","parse-names":false,"suffix":""}],"container-title":"Journal of Korean Medical Science","id":"ITEM-1","issue":"6","issued":{"date-parts":[["2006"]]},"page":"1115-1116","title":"A patient with mixed type Evans syndrome: Efficacy of rituximab treatment","type":"article-journal","volume":"21"},"uris":["http://www.mendeley.com/documents/?uuid=a74e5910-49a5-469a-8e1d-ec1800c73b07","http://www.mendeley.com/documents/?uuid=089ae101-dfeb-43de-b992-60ebd19be863"]}],"mendeley":{"formattedCitation":"[27]","plainTextFormattedCitation":"[27]","previouslyFormattedCitation":"(27)"},"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[27]</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2B208B18" w14:textId="201227CA" w:rsidR="000D153F" w:rsidRDefault="000D153F" w:rsidP="000D153F">
      <w:pPr>
        <w:pStyle w:val="ListParagraph"/>
        <w:spacing w:after="0" w:line="240" w:lineRule="auto"/>
        <w:ind w:left="993" w:firstLine="447"/>
        <w:jc w:val="both"/>
        <w:rPr>
          <w:rFonts w:ascii="Palatino Linotype" w:hAnsi="Palatino Linotype"/>
          <w:color w:val="000000"/>
          <w:sz w:val="20"/>
          <w:szCs w:val="20"/>
          <w:lang w:val="en-US"/>
        </w:rPr>
      </w:pPr>
      <w:r w:rsidRPr="000D153F">
        <w:rPr>
          <w:rFonts w:ascii="Palatino Linotype" w:hAnsi="Palatino Linotype"/>
          <w:color w:val="000000"/>
          <w:sz w:val="20"/>
          <w:szCs w:val="20"/>
          <w:lang w:val="en-US"/>
        </w:rPr>
        <w:t xml:space="preserve">Studi menunjukkan bahwa satu kali infus rituximab dapat menghasilkan tingkat respons awal sebesar 75–80% pada anak-anak dan orang dewasa dengan ES. Tingkat respons bebas </w:t>
      </w:r>
      <w:r w:rsidRPr="000D153F">
        <w:rPr>
          <w:rFonts w:ascii="Palatino Linotype" w:hAnsi="Palatino Linotype"/>
          <w:color w:val="000000"/>
          <w:sz w:val="20"/>
          <w:szCs w:val="20"/>
          <w:lang w:val="en-US"/>
        </w:rPr>
        <w:lastRenderedPageBreak/>
        <w:t>kekambuhan jangka panjang mencapai sekitar 60% pada orang dewasa yang dipantau selama 1–3,5 tahun, sedangkan pada anak-anak bervariasi antara 36% hingga 65%. Respons lengkap lebih tinggi pada anak-anak dengan anemia hemolitik autoimun (AIHA) saja (74%) dibandingkan dengan anak-anak dengan ES (46%). Kelangsungan hidup bebas kekambuhan selama 6 tahun juga lebih rendah pada anak-anak dengan ES (36%) dibandingkan dengan AIHA saja (53%)</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{"citationItems":[{"id":"ITEM-1","itemData":{"DOI":"10.1007/978-3-319-73269-5_2","ISBN":"9783319732695","author":[{"dropping-particle":"","family":"Kim","given":"Taylor Olmsted","non-dropping-particle":"","parse-names":false,"suffix":""}],"container-title":"Immune Hematology: Diagnosis and Management of Autoimmune Cytopenias","id":"ITEM-1","issued":{"date-parts":[["2018"]]},"number-of-pages":"17-33","title":"Pathophysiology of immune thrombocytopenia","type":"book"},"uris":["http://www.mendeley.com/documents/?uuid=5db4ecde-991f-4771-bb35-a9e8f49b8059","http://www.mendeley.com/documents/?uuid=68b419a8-9e7a-4117-8229-4777d43fda56"]}],"mendeley":{"formattedCitation":"[13]","plainTextFormattedCitation":"[13]","previouslyFormattedCitation":"(13)"},"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[13]</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31BFF835" w14:textId="03D94402" w:rsidR="000D153F" w:rsidRPr="000D153F" w:rsidRDefault="000D153F" w:rsidP="000D153F">
      <w:pPr>
        <w:pStyle w:val="ListParagraph"/>
        <w:spacing w:after="0" w:line="240" w:lineRule="auto"/>
        <w:ind w:left="993" w:firstLine="447"/>
        <w:jc w:val="both"/>
        <w:rPr>
          <w:rFonts w:ascii="Palatino Linotype" w:hAnsi="Palatino Linotype"/>
          <w:color w:val="000000"/>
          <w:sz w:val="20"/>
          <w:szCs w:val="20"/>
          <w:lang w:val="en-US"/>
        </w:rPr>
      </w:pPr>
      <w:r w:rsidRPr="000D153F">
        <w:rPr>
          <w:rFonts w:ascii="Palatino Linotype" w:hAnsi="Palatino Linotype"/>
          <w:color w:val="000000"/>
          <w:sz w:val="20"/>
          <w:szCs w:val="20"/>
          <w:lang w:val="en-US"/>
        </w:rPr>
        <w:t>Sebuah studi prospektif multisenter pediatrik mengevaluasi kemanjuran rituximab dosis 375 mg/m² pada 15 pasien dengan anemia hemolitik autoimun (AIHA) refrakter. Semua pasien sebelumnya telah menerima dua atau lebih rangkaian agen imunosupresif seperti steroid, azathioprine, IVIG, dan siklosporin. Dari 15 pasien, 5 memiliki sindrom Evans (ES); dari 5 pasien ini, 3 menunjukkan respons dengan peningkatan kadar trombosit dari 27 menjadi 140×10⁹/L dua bulan setelah memulai rituximab</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{"citationItems":[{"id":"ITEM-1","itemData":{"DOI":"10.1182/blood-2002-11-3547","ISSN":"00064971","PMID":"12531800","abstract":"Autoimmune hemolytic anemia (AIHA) in children is sometimes characterized by a severe course, requiring prolonged administration of immunosuppressive therapy. Rituximab is able to cause selective in vivo destruction of B lymphocytes, with abrogation of antibody production. In a prospective study, we have evaluated the use of rituximab for the treatment of AIHA resistant to conventional treatment. Fifteen children with AIHA were given rituximab, 375 mg/m2/dose for a median of 3 weekly doses. All patients had previously received 2 or more courses of immunosuppressive therapy; 2 patients had undergone splenectomy. After completing treatment, all children received intravenous Immunoglobulin for 6 months. Treatment was well tolerated. With a median follow-up of 13 months, 13 patients (87%) responded, whereas 2 patients did not show any improvement. Median hemoglobin levels increased from 7.7 g/dL to a 2-month posttreatment level of 11.8 g/dL (P &lt; .001). Median absolute reticulocyte counts decreased from 236 to 109 x 109/L (P &lt; .01). An increase in platelet count was observed in patients with concomitant thrombocytopenia (Evans syndrome). Three responder patients had relapse, 7, 8, and 10 months after rituximab infusion, respectively. All 3 children received a second course of rituximab, again achieving disease remission. Our data indicate that rituximab is both safe and effective in reducing or even abolishing hemolysis in children with AIHA and that a sustained response can be achieved in the majority of cases. Disease may recur, but a second treatment course may be successful in controlling the disease. © 2003 by The American Society of Hematology.","author":[{"dropping-particle":"","family":"Zecca","given":"Marco","non-dropping-particle":"","parse-names":false,"suffix":""},{"dropping-particle":"","family":"Nobili","given":"Bruno","non-dropping-particle":"","parse-names":false,"suffix":""},{"dropping-particle":"","family":"Ramenghi","given":"Ugo","non-dropping-particle":"","parse-names":false,"suffix":""},{"dropping-particle":"","family":"Perrotta","given":"Silverio","non-dropping-particle":"","parse-names":false,"suffix":""},{"dropping-particle":"","family":"Amendola","given":"Giovanni","non-dropping-particle":"","parse-names":false,"suffix":""},{"dropping-particle":"","family":"Rosito","given":"Pasquale","non-dropping-particle":"","parse-names":false,"suffix":""},{"dropping-particle":"","family":"Jankovic","given":"Momcilo","non-dropping-particle":"","parse-names":false,"suffix":""},{"dropping-particle":"","family":"Pierani","given":"Paolo","non-dropping-particle":"","parse-names":false,"suffix":""},{"dropping-particle":"","family":"Stefano","given":"Piero","non-dropping-particle":"De","parse-names":false,"suffix":""},{"dropping-particle":"","family":"Bonora","given":"Mario Regazzi","non-dropping-particle":"","parse-names":false,"suffix":""},{"dropping-particle":"","family":"Locatelli","given":"Franco","non-dropping-particle":"","parse-names":false,"suffix":""}],"container-title":"Blood","id":"ITEM-1","issue":"10","issued":{"date-parts":[["2003"]]},"page":"3857-3861","title":"Rituximab for the treatment of refractory autoimmune hemolytic anemia in children","type":"article-journal","volume":"101"},"uris":["http://www.mendeley.com/documents/?uuid=08ebd21b-aa9b-4633-b3cf-f09f8d695564","http://www.mendeley.com/documents/?uuid=2a4e3e3c-38a6-48c5-b1c0-6af2497f2e92"]}],"mendeley":{"formattedCitation":"[28]","plainTextFormattedCitation":"[28]","previouslyFormattedCitation":"(28)"},"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[28]</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r w:rsidRPr="000D153F">
        <w:rPr>
          <w:rFonts w:ascii="Palatino Linotype" w:hAnsi="Palatino Linotype"/>
          <w:color w:val="000000"/>
          <w:sz w:val="20"/>
          <w:szCs w:val="20"/>
          <w:lang w:val="en-US"/>
        </w:rPr>
        <w:t>Sebuah penelitian retrospektif lain melaporkan penggunaan rituximab dosis standar ditambah prednison pada 17 anak dengan ES refrakter, dengan respons keseluruhan sebesar 76%. Meskipun belum ada uji coba prospektif yang luas, rituximab kini lebih disukai daripada splenektomi karena risiko komplikasi infeksi yang lebih rendah. Waktu respons yang diharapkan adalah 3-6 minggu, dengan kemungkinan respons hingga 12 minggu. Respons bertahan lama selama rata-rata tindak lanjut 2,4 tahun telah dilaporkan pada 65% pasien</w:t>
      </w:r>
      <w:r>
        <w:rPr>
          <w:rFonts w:ascii="Palatino Linotype" w:hAnsi="Palatino Linotype"/>
          <w:color w:val="000000"/>
          <w:sz w:val="20"/>
          <w:szCs w:val="20"/>
          <w:lang w:val="en-US"/>
        </w:rPr>
        <w:t xml:space="preserve">. </w:t>
      </w:r>
      <w:r w:rsidRPr="000D153F">
        <w:rPr>
          <w:rFonts w:ascii="Palatino Linotype" w:hAnsi="Palatino Linotype"/>
          <w:color w:val="000000"/>
          <w:sz w:val="20"/>
          <w:szCs w:val="20"/>
          <w:lang w:val="en-US"/>
        </w:rPr>
        <w:t xml:space="preserve">Efek samping utama selama pemberian rituximab meliputi muntah, edema wajah, ruam, serta neutropenia sementara dan pneumonia pada satu pasien dalam 1-2 minggu setelah infus. Hal ini menunjukkan bahwa menambahkan rituximab ke steroid efektif pada kasus refrakter, terutama sebagai terapi lini kedua, dan dosis berulang dapat efisien pada pasien yang mengalami kekambuhan. Studi pada 14 pasien dengan sitopenia imun, termasuk 4 kasus ES, melaporkan bahwa rituximab hanya efektif pada sebagian pasien dengan ES refrakter, tanpa respons bersamaan pada AIHA dan trombositopenia imun (ITP). Keuntungan rituximab adalah menghindari imunosupresi berat dan efek samping dari agen imunosupresif lain. Namun, pada kasus ES yang disebabkan oleh sindrom aktivasi limfoproliferatif autoimun (ALPS), terapi rituximab dapat menyebabkan hipogamaglobulinemia yang bertahan lama, meningkatkan risiko infeksi bakteri dan beberapa infeksi virus. </w:t>
      </w:r>
      <w:r w:rsidRPr="000E3166">
        <w:rPr>
          <w:rFonts w:ascii="Palatino Linotype" w:hAnsi="Palatino Linotype"/>
          <w:color w:val="000000"/>
          <w:sz w:val="20"/>
          <w:szCs w:val="20"/>
          <w:lang w:val="sv-SE"/>
        </w:rPr>
        <w:t xml:space="preserve">Oleh karena itu, rituximab umumnya harus dihindari pada pasien dengan ALPS. Demikian pula, splenektomi harus dihindari pada pasien ALPS karena responsnya biasanya singkat dan toksisitas pascasplenektomi lebih jelas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{"citationItems":[{"id":"ITEM-1","itemData":{"DOI":"10.3324/haematol.11540","ISSN":"03906078","PMID":"18055994","abstract":"The safety and efficacy of rituximab have been retrospectively assessed in 17 children with Evans syndrome. Patients received 4 or 3 weekly doses of rituximab (375 mg/m2 per dose) associated with prednisone, alone (14 patients) or associated with other immunosuppressive drugs. Complete or partial remission of at least one cytopenia was achieved in 13 out of the 17 patients (76%), and lasted in 11 of them with a mean follow-up of 2.4 years (range 0.5-7 years). Steroid therapy was stopped or tapered at 50-100% of the baseline dosage in all long-term responders. Moderate side effects and infection occurred only in 4 and 1 children respectively. ©2007 Ferrata Storti Foundation.","author":[{"dropping-particle":"","family":"Bader-Meunier","given":"Brigitte","non-dropping-particle":"","parse-names":false,"suffix":""},{"dropping-particle":"","family":"Aladjidi","given":"Nathalie","non-dropping-particle":"","parse-names":false,"suffix":""},{"dropping-particle":"","family":"Bellmann","given":"Françoise","non-dropping-particle":"","parse-names":false,"suffix":""},{"dropping-particle":"","family":"Monpoux","given":"Fabrice","non-dropping-particle":"","parse-names":false,"suffix":""},{"dropping-particle":"","family":"Nelken","given":"Brigitte","non-dropping-particle":"","parse-names":false,"suffix":""},{"dropping-particle":"","family":"Robert","given":"Alain","non-dropping-particle":"","parse-names":false,"suffix":""},{"dropping-particle":"","family":"Armari-Alla","given":"Corinne","non-dropping-particle":"","parse-names":false,"suffix":""},{"dropping-particle":"","family":"Picard","given":"Capucine","non-dropping-particle":"","parse-names":false,"suffix":""},{"dropping-particle":"","family":"Ledeist","given":"Françoise","non-dropping-particle":"","parse-names":false,"suffix":""},{"dropping-particle":"","family":"Munzer","given":"Martine","non-dropping-particle":"","parse-names":false,"suffix":""},{"dropping-particle":"","family":"Yacouben","given":"Karima","non-dropping-particle":"","parse-names":false,"suffix":""},{"dropping-particle":"","family":"Bertrand","given":"Yves","non-dropping-particle":"","parse-names":false,"suffix":""},{"dropping-particle":"","family":"Pariente","given":"Antoine","non-dropping-particle":"","parse-names":false,"suffix":""},{"dropping-particle":"","family":"Chaussé","given":"Arnaud","non-dropping-particle":"","parse-names":false,"suffix":""},{"dropping-particle":"","family":"Perel","given":"Yves","non-dropping-particle":"","parse-names":false,"suffix":""},{"dropping-particle":"","family":"Leverger","given":"Guy","non-dropping-particle":"","parse-names":false,"suffix":""}],"container-title":"Haematologica","id":"ITEM-1","issue":"12","issued":{"date-parts":[["2007"]]},"page":"1691-1694","title":"Rituximab therapy for childhood Evans syndrome","type":"article-journal","volume":"92"},"uris":["http://www.mendeley.com/documents/?uuid=7cac5add-0955-4059-b08f-0af2292a2311","http://www.mendeley.com/documents/?uuid=2559d2e3-1401-4e50-80e6-83e32791fea5"]},{"id":"ITEM-2","itemData":{"DOI":"10.1016/j.htct.2022.01.011","ISSN":"25311387","abstract":"Introduction: The Evans syndrome (ES) is a rare, often chronic, relapsing and treatment-refractory hematological disorder. We described the clinical features, diagnostic workup, treatment and outcome in patients with ES. Method: We performed a retrospective chart review of patients aged &lt; 18 years with ES admitted to a tertiary center in Brazil from 2001 to 2021. The analysis of the data was primarily descriptive, using median, interquartile range and categorical variables presented in absolute frequencies. Main results: Twenty patients (12 female, 8 male) were evaluated in this study. The median age at the initial cytopenia was 4.98 years (1.30–12.57). The ES was secondary in nine cases (45%), of which six patients (30%) showed autoimmune disease (AID) or primary immunodeficiencies (PID) and one presented a spontaneous recovery. Steroids and intravenous immunoglobulin were first-line therapy in 19 cases. Twelve patients (63%) required second-line treatments (rituximab, cyclosporine, splenectomy, sirolimus, cyclophosphamide, mycophenolate mofetil, azathioprine and eltrombopag). The median follow-up period was 2.41 years (1.4 –7.52). One patient (5%) died of underlying neuroblastoma, one case (5%) was lost to follow-up and four patients (20%) received a medical discharge. The median age for the 14 remaining cases was 12.6 years. Twelve patients (85.7%) were in complete response (CR) with no therapies. Two patients (14.3%) were in CR with chronic therapy. Conclusion: As ES may be a symptom of AID and PID, a thorough rheumatological, immunologic and genetic workup and a careful follow-up are essential. The second-line treatment remains a dilemma. Further prospective studies are needed to address the optimal therapeutic combinations, morbidity and mortality in this disorder.","author":[{"dropping-particle":"","family":"Blanco","given":"Bruna Paccola","non-dropping-particle":"","parse-names":false,"suffix":""},{"dropping-particle":"","family":"Garanito","given":"Marlene Pereira","non-dropping-particle":"","parse-names":false,"suffix":""}],"container-title":"Hematology, Transfusion and Cell Therapy","id":"ITEM-2","issue":"2","issued":{"date-parts":[["2023"]]},"page":"196-203","publisher":"Elsevier Espana, S.L.","title":"Pediatric Evans Syndrome: A 20-year experience from a tertiary center in Brazil","type":"article-journal","volume":"45"},"uris":["http://www.mendeley.com/documents/?uuid=6f7d2307-621a-4e68-938d-5fd78ca321b0","http://www.mendeley.com/documents/?uuid=4ec25289-a07f-4196-9c4a-d0101885b565"]}],"mendeley":{"formattedCitation":"[11,29]","plainTextFormattedCitation":"[11,29]","previouslyFormattedCitation":"(11,29)"},"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[11,29]</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2696A4EB" w14:textId="7FB69C9B" w:rsidR="000D153F" w:rsidRDefault="000D153F" w:rsidP="000D153F">
      <w:pPr>
        <w:pStyle w:val="ListParagraph"/>
        <w:numPr>
          <w:ilvl w:val="0"/>
          <w:numId w:val="46"/>
        </w:num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t>Mikofenolat Mofetil</w:t>
      </w:r>
    </w:p>
    <w:p w14:paraId="25F9EF27" w14:textId="3B47564F" w:rsidR="000D153F" w:rsidRDefault="000D153F" w:rsidP="000D153F">
      <w:pPr>
        <w:pStyle w:val="ListParagraph"/>
        <w:spacing w:after="0" w:line="240" w:lineRule="auto"/>
        <w:ind w:left="993" w:firstLine="447"/>
        <w:jc w:val="both"/>
        <w:rPr>
          <w:rFonts w:ascii="Palatino Linotype" w:hAnsi="Palatino Linotype"/>
          <w:color w:val="000000"/>
          <w:sz w:val="20"/>
          <w:szCs w:val="20"/>
          <w:lang w:val="en-US"/>
        </w:rPr>
      </w:pPr>
      <w:r w:rsidRPr="000D153F">
        <w:rPr>
          <w:rFonts w:ascii="Palatino Linotype" w:hAnsi="Palatino Linotype"/>
          <w:color w:val="000000"/>
          <w:sz w:val="20"/>
          <w:szCs w:val="20"/>
          <w:lang w:val="en-US"/>
        </w:rPr>
        <w:t>Mikofenolat mofetil (MMF) digunakan pada sindrom Evans terutama karena efek imunosupresifnya. Obat ini merupakan ester 2-morfolinoetil dari asam mikofenolat yang bekerja sebagai imunosupresan selektif dan kompetitif dengan menghambat enzim inosine monofosfat dehydrogenase, yang penting dalam sintesis purin untuk proliferasi limfosit T dan B serta sintesis DNA, RNA, dan protein limfosit. Penghambatan selektif ini menurunkan proliferasi sel imun dan produksi antibodi tanpa meningkatkan risiko infeksi secara signifikan, sehingga MMF terbukti sangat efektif dalam pengobatan sindrom Evans dengan tingkat respons hingga 80% pada pasien</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{"citationItems":[{"id":"ITEM-1","itemData":{"DOI":"10.1007/978-3-319-73269-5_2","ISBN":"9783319732695","author":[{"dropping-particle":"","family":"Kim","given":"Taylor Olmsted","non-dropping-particle":"","parse-names":false,"suffix":""}],"container-title":"Immune Hematology: Diagnosis and Management of Autoimmune Cytopenias","id":"ITEM-1","issued":{"date-parts":[["2018"]]},"number-of-pages":"17-33","title":"Pathophysiology of immune thrombocytopenia","type":"book"},"uris":["http://www.mendeley.com/documents/?uuid=5db4ecde-991f-4771-bb35-a9e8f49b8059","http://www.mendeley.com/documents/?uuid=68b419a8-9e7a-4117-8229-4777d43fda56"]}],"mendeley":{"formattedCitation":"[13]","plainTextFormattedCitation":"[13]","previouslyFormattedCitation":"(13)"},"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[13]</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r w:rsidRPr="000D153F">
        <w:rPr>
          <w:rFonts w:ascii="Palatino Linotype" w:hAnsi="Palatino Linotype"/>
          <w:color w:val="000000"/>
          <w:sz w:val="20"/>
          <w:szCs w:val="20"/>
          <w:lang w:val="en-US"/>
        </w:rPr>
        <w:t>MMF membantu menyeimbangkan disregulasi sel T yang berkontribusi pada proses autoimun pada sindrom Evans. Obat ini umumnya ditoleransi dengan baik, meskipun toksisitas yang paling umum adalah sitopenia (leukopenia, neutropenia, dan anemia) serta toksisitas gastrointestinal seperti nyeri perut, diare, dan transaminitis. MMF biasanya diberikan sebagai terapi lini kedua apabila pasien gagal merespons glukokortikoid lini pertama. Di Inggris, MMF lebih banyak digunakan karena tingkat responsnya yang tinggi (50-80%) dan harganya yang relatif murah, meskipun respon terhadap trombosit memerlukan waktu 4-6 minggu</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{"citationItems":[{"id":"ITEM-1","itemData":{"DOI":"10.1056/nejmoa2100596","ISSN":"0028-4793","PMID":"34469646","abstract":"Abstract Background Immune thrombocytopenia is a rare autoimmune disorder with associated bleeding risk and fatigue. Recommended first-line treatment for immune thrombocytopenia is high-dose glucoc...","author":[{"dropping-particle":"","family":"Bradbury","given":"Charlotte A.","non-dropping-particle":"","parse-names":false,"suffix":""},{"dropping-particle":"","family":"Pell","given":"Julie","non-dropping-particle":"","parse-names":false,"suffix":""},{"dropping-particle":"","family":"Hill","given":"Quentin","non-dropping-particle":"","parse-names":false,"suffix":""},{"dropping-particle":"","family":"Bagot","given":"Catherine","non-dropping-particle":"","parse-names":false,"suffix":""},{"dropping-particle":"","family":"Cooper","given":"Nichola","non-dropping-particle":"","parse-names":false,"suffix":""},{"dropping-particle":"","family":"Ingram","given":"Jenny","non-dropping-particle":"","parse-names":false,"suffix":""},{"dropping-particle":"","family":"Breheny","given":"Katie","non-dropping-particle":"","parse-names":false,"suffix":""},{"dropping-particle":"","family":"Kandiyali","given":"Rebecca","non-dropping-particle":"","parse-names":false,"suffix":""},{"dropping-particle":"","family":"Rayment","given":"Rachel","non-dropping-particle":"","parse-names":false,"suffix":""},{"dropping-particle":"","family":"Evans","given":"Gillian","non-dropping-particle":"","parse-names":false,"suffix":""},{"dropping-particle":"","family":"Talks","given":"Kate","non-dropping-particle":"","parse-names":false,"suffix":""},{"dropping-particle":"","family":"Thomas","given":"Ian","non-dropping-particle":"","parse-names":false,"suffix":""},{"dropping-particle":"","family":"Greenwood","given":"Rosemary","non-dropping-particle":"","parse-names":false,"suffix":""}],"container-title":"New England Journal of Medicine","id":"ITEM-1","issue":"10","issued":{"date-parts":[["2021"]]},"page":"885-895","title":"Mycophenolate Mofetil for First-Line Treatment of Immune Thrombocytopenia","type":"article-journal","volume":"385"},"uris":["http://www.mendeley.com/documents/?uuid=d6d02de0-e138-412a-be85-f0e3800eea03","http://www.mendeley.com/documents/?uuid=36e62139-fa79-4fad-ae03-001dca2498e8"]},{"id":"ITEM-2","itemData":{"DOI":"10.3389/fped.2023.1174671","ISSN":"22962360","abstract":"Second-line treatments of autoimmune cytopenias (AC) are not well-defined in children. Mycophenolate mofetil (MMF) is an immunosuppressant agent that has been demonstrated to be safe and effective in this setting. A retrospective observational study was conducted in 18 children with prolonged AC who received MMF, in order to describe clinical and biological markers of response. The overall response rate of MMF at 20–30 mg/kg per day was 73.3%. All patients with Evans syndrome (n = 9) achieved complete response. Among the patients with monolineage AC (n = 9), those with an underlying inborn errors of immunity (IEI), tended to respond better to MMF. No biological markers related to treatment response were found. Rather, lymphocyte subpopulations proved useful for patient selection as a marker suggestive of IEI along with immunoglobulin-level determination.","author":[{"dropping-particle":"","family":"Berrueco","given":"Rubén","non-dropping-particle":"","parse-names":false,"suffix":""},{"dropping-particle":"","family":"González-Forster","given":"Elisa","non-dropping-particle":"","parse-names":false,"suffix":""},{"dropping-particle":"","family":"Deya-Martinez","given":"Angela","non-dropping-particle":"","parse-names":false,"suffix":""},{"dropping-particle":"","family":"Solsona","given":"María","non-dropping-particle":"","parse-names":false,"suffix":""},{"dropping-particle":"","family":"García-García","given":"Ana","non-dropping-particle":"","parse-names":false,"suffix":""},{"dropping-particle":"","family":"Calzada-Hernández","given":"Joan","non-dropping-particle":"","parse-names":false,"suffix":""},{"dropping-particle":"","family":"Yiyi","given":"Luo","non-dropping-particle":"","parse-names":false,"suffix":""},{"dropping-particle":"","family":"Vlagea","given":"Alexandru","non-dropping-particle":"","parse-names":false,"suffix":""},{"dropping-particle":"","family":"Ruiz-Llobet","given":"Anna","non-dropping-particle":"","parse-names":false,"suffix":""},{"dropping-particle":"","family":"Alsina","given":"Laia","non-dropping-particle":"","parse-names":false,"suffix":""}],"container-title":"Frontiers in Pediatrics","id":"ITEM-2","issue":"October","issued":{"date-parts":[["2023"]]},"page":"1-7","title":"Mycophenolate mofetil for autoimmune cytopenias in children: high rates of response in inborn errors of immunity","type":"article-journal","volume":"11"},"uris":["http://www.mendeley.com/documents/?uuid=5b498389-d323-49cb-8c47-b2e035f020ac","http://www.mendeley.com/documents/?uuid=68557fd5-1435-4a9c-b607-3e06dd501b2f"]}],"mendeley":{"formattedCitation":"[30,31]","plainTextFormattedCitation":"[30,31]","previouslyFormattedCitation":"(30,31)"},"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[30,31]</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2D55CF36" w14:textId="1BE78CD0" w:rsidR="004923A1" w:rsidRPr="00475A35" w:rsidRDefault="004923A1" w:rsidP="000D153F">
      <w:pPr>
        <w:pStyle w:val="ListParagraph"/>
        <w:spacing w:after="0" w:line="240" w:lineRule="auto"/>
        <w:ind w:left="993" w:firstLine="447"/>
        <w:jc w:val="both"/>
        <w:rPr>
          <w:rFonts w:ascii="Palatino Linotype" w:hAnsi="Palatino Linotype"/>
          <w:color w:val="000000"/>
          <w:sz w:val="20"/>
          <w:szCs w:val="20"/>
          <w:lang w:val="sv-SE"/>
        </w:rPr>
      </w:pPr>
      <w:r w:rsidRPr="004923A1">
        <w:rPr>
          <w:rFonts w:ascii="Palatino Linotype" w:hAnsi="Palatino Linotype"/>
          <w:color w:val="000000"/>
          <w:sz w:val="20"/>
          <w:szCs w:val="20"/>
          <w:lang w:val="en-US"/>
        </w:rPr>
        <w:t xml:space="preserve">Sebuah studi multisenter retrospektif baru-baru ini mengevaluasi penggunaan mycophenolate mofetil (MMF) pada 40 anak dengan idiopathic thrombocytopenic purpura (ITP) dan 16 anak dengan sindrom Evans (ES). </w:t>
      </w:r>
      <w:r w:rsidRPr="000E3166">
        <w:rPr>
          <w:rFonts w:ascii="Palatino Linotype" w:hAnsi="Palatino Linotype"/>
          <w:color w:val="000000"/>
          <w:sz w:val="20"/>
          <w:szCs w:val="20"/>
          <w:lang w:val="sv-SE"/>
        </w:rPr>
        <w:t>Sebagian besar pasien sebelumnya telah menerima satu hingga tiga lini pengobatan. Dari 16 kasus ES, 13 pasien mencapai respons lengkap, dengan hanya satu pasien yang mengalami mual sebagai efek samping. Secara keseluruhan, 65% pasien mencapai respons parsial, dengan pasien ES menunjukkan respons penuh yang lebih tinggi, yaitu 81%. Waktu rata-rata untuk mencapai respons relatif cepat, yaitu sekitar 20 hari untuk respons parsial dan 37 hari untuk respons penuh. Pengobatan dengan MMF ditoleransi dengan baik dan menunjukkan toksisitas yang terbatas. Namun, kekambuhan terjadi pada 17% pasien setelah rata-</w:t>
      </w:r>
      <w:r w:rsidRPr="000E3166">
        <w:rPr>
          <w:rFonts w:ascii="Palatino Linotype" w:hAnsi="Palatino Linotype"/>
          <w:color w:val="000000"/>
          <w:sz w:val="20"/>
          <w:szCs w:val="20"/>
          <w:lang w:val="sv-SE"/>
        </w:rPr>
        <w:lastRenderedPageBreak/>
        <w:t xml:space="preserve">rata 9 bulan pengobatan. Anak-anak dengan sindrom Evans, yang sering dikaitkan dengan kelainan imun, cenderung merespons MMF lebih baik, kemungkinan karena efek imunosupresif MMF yang membantu menyeimbangkan disregulasi sel T. Inisiasi pengobatan MMF secara dini tampaknya berhubungan dengan hasil yang lebih baik, terutama pada pasien ES, sedangkan pengobatan yang dimulai pada tahap lanjut menunjukkan respons yang kurang optimal. Meskipun belum ada penanda biologis definitif untuk memprediksi respons, analisis subpopulasi limfosit dan kadar imunoglobulin dapat membantu dalam pemilihan pasien. Dosis yang direkomendasikan adalah 600 mg/m² MMF dua kali sehari, dengan evaluasi ulang setelah 3 bulan untuk memantau risiko kekambuhan dan efek samping jangka panjang yang masih jarang dilaporkan. Hasil studi ini menunjukkan bahwa MMF dapat menjadi pilihan pengobatan lini kedua yang efektif dan aman bagi pasien ES yang refrakter terhadap steroid atau imunoglobulin intravena (IVIG)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{"citationItems":[{"id":"ITEM-1","itemData":{"DOI":"10.1111/bjh.14261","ISSN":"13652141","PMID":"27447678","abstract":"Mycophenolate mofetil (MMF) has been shown to be effective in children with immune thrombocytopenia (ITP) and Evans syndrome (ES), but data from larger series and details on the timing of the response are lacking. We evaluated 56 children treated with MMF for ITP (n = 40) or ES (n = 16), which was primary or secondary to autoimmune lymphoproliferative syndrome -related syndrome (ARS). Thirty-five of the 54 evaluable patients (65%) achieved a partial (18%) or complete (46%) response after a median (range) of 20 (7–137) and 37 (7–192) d, respectively. ITP and ES patients responded in 58% and 81% of cases (P = not significant, ns), with complete response in 32% and 81% (P = 0·01), respectively. 60% and 73% of children with primary disease and ARS responded (P = ns) with complete response in 34% and 68% of cases (P = 0·01), respectively. Six of 35 (17%) children relapsed after a median of 283 d (range 189–1036). Limited toxicity was observed in four patients. The median durations of treatment and follow-up were seven and 12·7 months, respectively. This is the largest reported cohort of patients treated with MMF for ITP/ES. The results show that MMF is effective and safe and provides a relatively quick response, suggesting that it has a potential role as an alternative to more aggressive and expensive second/further-line treatments.","author":[{"dropping-particle":"","family":"Miano","given":"Maurizio","non-dropping-particle":"","parse-names":false,"suffix":""},{"dropping-particle":"","family":"Ramenghi","given":"Ugo","non-dropping-particle":"","parse-names":false,"suffix":""},{"dropping-particle":"","family":"Russo","given":"Giovanna","non-dropping-particle":"","parse-names":false,"suffix":""},{"dropping-particle":"","family":"Rubert","given":"Laura","non-dropping-particle":"","parse-names":false,"suffix":""},{"dropping-particle":"","family":"Barone","given":"Angelica","non-dropping-particle":"","parse-names":false,"suffix":""},{"dropping-particle":"","family":"Tucci","given":"Fabio","non-dropping-particle":"","parse-names":false,"suffix":""},{"dropping-particle":"","family":"Farruggia","given":"Piero","non-dropping-particle":"","parse-names":false,"suffix":""},{"dropping-particle":"","family":"Petrone","given":"Angelamaria","non-dropping-particle":"","parse-names":false,"suffix":""},{"dropping-particle":"","family":"Mondino","given":"Anna","non-dropping-particle":"","parse-names":false,"suffix":""},{"dropping-particle":"","family":"Valvo","given":"Laura","non-dropping-particle":"Lo","parse-names":false,"suffix":""},{"dropping-particle":"","family":"Crescenzio","given":"Nicoletta","non-dropping-particle":"","parse-names":false,"suffix":""},{"dropping-particle":"","family":"Bellia","given":"Francesco","non-dropping-particle":"","parse-names":false,"suffix":""},{"dropping-particle":"","family":"Olivieri","given":"Irene","non-dropping-particle":"","parse-names":false,"suffix":""},{"dropping-particle":"","family":"Palmisani","given":"Elena","non-dropping-particle":"","parse-names":false,"suffix":""},{"dropping-particle":"","family":"Caviglia","given":"Ilaria","non-dropping-particle":"","parse-names":false,"suffix":""},{"dropping-particle":"","family":"Dufour","given":"Carlo","non-dropping-particle":"","parse-names":false,"suffix":""},{"dropping-particle":"","family":"Fioredda","given":"Francesca","non-dropping-particle":"","parse-names":false,"suffix":""}],"container-title":"British Journal of Haematology","id":"ITEM-1","issue":"3","issued":{"date-parts":[["2016"]]},"page":"490-495","title":"Mycophenolate mofetil for the treatment of children with immune thrombocytopenia and Evans syndrome. A retrospective data review from the Italian association of paediatric haematology/oncology","type":"article-journal","volume":"175"},"uris":["http://www.mendeley.com/documents/?uuid=76790e25-251c-4d48-9c02-b17612fc22dc","http://www.mendeley.com/documents/?uuid=5ca44b99-3864-468e-94f8-2bb6d564047e"]},{"id":"ITEM-2","itemData":{"DOI":"10.2147/JBM.S176144","ISSN":"11792736","PMID":"30349415","abstract":"Evans syndrome (ES) is a rare and chronic autoimmune disease characterized by autoimmune hemolytic anemia and immune thrombocytopenic purpura with a positive direct anti-human globulin test. It is classified as primary and secondary, with the frequency in patients with autoimmune hemolytic anemia being 37%–73%. It predominates in children, mainly due to primary immunodeficiencies or autoimmune lymphoproliferative syndrome. ES during pregnancy is associated with high fetal morbidity, including severe hemolysis and intracranial bleeding with neurological sequelae and death. The clinical presentation can include fatigue, pallor, jaundice and mucosal bleeding, with remissions and exacerbations during the person’s lifetime, and acute manifestations as catastrophic bleeding and massive hemolysis. Recent molecular theories explaining the physiopathology of ES include deficiencies of CTLA-4, LRBA, TPP2 and a decreased CD4/CD8 ratio. As in other autoimmune cytopenias, there is no established evidence-based treatment and steroids are the first-line therapy, with intravenous immunoglobulin administered as a life-saving resource in cases of severe immune thrombocytopenic purpura manifestations. Second-line treatment for refractory ES includes rituximab, mofetil mycophenolate, cyclosporine, vincristine, azathioprine, sirolimus and thrombopoietin receptor agonists. In cases unresponsive to immunosuppressive agents, hematopoietic stem cell transplantation has been successful, although it is necessary to consider its potential serious adverse effects. In conclusion, ES is a disease with a heterogeneous course that remains challenging to patients and physicians, with prospective clinical trials needed to explore potential targeted therapy to achieve an improved long-term response or even a cure.","author":[{"dropping-particle":"","family":"Jaime-Pérez","given":"José Carlos","non-dropping-particle":"","parse-names":false,"suffix":""},{"dropping-particle":"","family":"Elva","given":"Patrizia","non-dropping-particle":"","parse-names":false,"suffix":""},{"dropping-particle":"","family":"Aguilar-Calderón","given":"","non-dropping-particle":"","parse-names":false,"suffix":""},{"dropping-particle":"","family":"Salazar-Cavazos","given":"Lorena","non-dropping-particle":"","parse-names":false,"suffix":""},{"dropping-particle":"","family":"Gómez-Almaguer","given":"David","non-dropping-particle":"","parse-names":false,"suffix":""}],"container-title":"Journal of Blood Medicine","id":"ITEM-2","issued":{"date-parts":[["2018"]]},"page":"171-184","title":"Evans syndrome: Clinical perspectives, biological insights and treatment modalities","type":"article-journal","volume":"9"},"uris":["http://www.mendeley.com/documents/?uuid=761b199c-2af2-4eb5-bcd8-3e906bcd2a66","http://www.mendeley.com/documents/?uuid=ccfdb421-1aec-4488-bbe0-83dd784ef9a3"]}],"mendeley":{"formattedCitation":"[1,32]","plainTextFormattedCitation":"[1,32]","previouslyFormattedCitation":"(1,32)"},"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[1,32]</w:t>
      </w:r>
      <w:r>
        <w:rPr>
          <w:rFonts w:ascii="Palatino Linotype" w:hAnsi="Palatino Linotype"/>
          <w:color w:val="000000"/>
          <w:sz w:val="20"/>
          <w:szCs w:val="20"/>
          <w:lang w:val="en-US"/>
        </w:rPr>
        <w:fldChar w:fldCharType="end"/>
      </w:r>
      <w:r w:rsidRPr="00475A35">
        <w:rPr>
          <w:rFonts w:ascii="Palatino Linotype" w:hAnsi="Palatino Linotype"/>
          <w:color w:val="000000"/>
          <w:sz w:val="20"/>
          <w:szCs w:val="20"/>
          <w:lang w:val="sv-SE"/>
        </w:rPr>
        <w:t xml:space="preserve">. </w:t>
      </w:r>
    </w:p>
    <w:p w14:paraId="735CD446" w14:textId="4BEDE64F" w:rsidR="004923A1" w:rsidRPr="00475A35" w:rsidRDefault="004923A1" w:rsidP="000D153F">
      <w:pPr>
        <w:pStyle w:val="ListParagraph"/>
        <w:spacing w:after="0" w:line="240" w:lineRule="auto"/>
        <w:ind w:left="993" w:firstLine="447"/>
        <w:jc w:val="both"/>
        <w:rPr>
          <w:rFonts w:ascii="Palatino Linotype" w:hAnsi="Palatino Linotype"/>
          <w:color w:val="000000"/>
          <w:sz w:val="20"/>
          <w:szCs w:val="20"/>
          <w:lang w:val="sv-SE"/>
        </w:rPr>
      </w:pPr>
      <w:r w:rsidRPr="00475A35">
        <w:rPr>
          <w:rFonts w:ascii="Palatino Linotype" w:hAnsi="Palatino Linotype"/>
          <w:color w:val="000000"/>
          <w:sz w:val="20"/>
          <w:szCs w:val="20"/>
          <w:lang w:val="sv-SE"/>
        </w:rPr>
        <w:t xml:space="preserve">Sebuah laporan kasus menggambarkan dua pasien dengan ITP refrakter dan AIHA yang memulai pengobatan dengan MMF dosis 500 mg dua kali sehari, kemudian ditingkatkan menjadi 1 gram dua kali sehari setelah dua minggu. Kedua pasien awalnya juga mengonsumsi prednisolone, yang kemudian dilanjutkan. Setelah 13-15 bulan pengobatan, satu pasien menunjukkan respon parsial sehingga dosis prednisolone dapat dikurangi, sementara pasien lainnya mengalami respon lengkap meskipun prednisolone dihentikan, dengan pengobatan MMF tetap dilanjutkan selama tindak lanjut. Di sisi lain, respons terhadap MMF bahkan lebih baik pada pasien dengan Evans Syndrome (ES) terkait ALPS dibandingkan dengan pasien ES primer. Tingkat respons berkelanjutan sebesar 92% tercatat pada pasien ALPS yang diobati dengan MMF untuk sitopenia autoimun refrakter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{"citationItems":[{"id":"ITEM-1","itemData":{"DOI":"10.1111/j.1365-2141.2005.05809.x","ISSN":"00071048","PMID":"16398647","abstract":"Evans syndrome is an uncommon condition defined by the combination (either simultaneously or sequentially) of immune thrombocytopenia (ITP) and autoimmune haemolytic anaemia (AIHA) with a positive direct antiglobulin test (DAT) in the absence of known underlying aetiology. This condition generally runs a chronic course and is characterised by frequent exacerbations and remissions. First-line therapy is usually corticosteroids and/or intravenous immunoglobulin, to which most patients respond; however, relapse is frequent. Options for second-line therapy include immunosuppressive drugs, especially ciclosporin or mycophenolate mofetil; vincristine; danazol or a combination of these agents. More recently a small number of patients have been treated with rituximab, which induces remission in the majority although such responses are often sustained for &lt;12 months and the long-term effects in children are unclear. Splenectomy may also be considered although long-term remissions are less frequent than in uncomplicated ITP. For very severe and refractory cases stem cell transplantation (SCT) offers the only chance of long-term cure. The limited data available suggest that allogeneic SCT may be superior to autologous SCT but both carry risks of severe morbidity and of transplant-related mortality. Cure following reduced-intensity conditioning has now been reported and should be considered for younger patients in the context of controlled clinical trials. © 2005 Blackwell Publishing Ltd.","author":[{"dropping-particle":"","family":"Norton","given":"Alice","non-dropping-particle":"","parse-names":false,"suffix":""},{"dropping-particle":"","family":"Roberts","given":"Irene","non-dropping-particle":"","parse-names":false,"suffix":""}],"container-title":"British Journal of Haematology","id":"ITEM-1","issue":"2","issued":{"date-parts":[["2006"]]},"page":"125-137","title":"Management of Evans syndrome","type":"article-journal","volume":"132"},"uris":["http://www.mendeley.com/documents/?uuid=5dfad90c-80b1-4122-88fe-26a3116b5e10","http://www.mendeley.com/documents/?uuid=1e811a28-48b4-4bc7-b8ab-a0856ed2036a"]},{"id":"ITEM-2","itemData":{"DOI":"10.1007/978-3-319-73269-5_2","ISBN":"9783319732695","author":[{"dropping-particle":"","family":"Kim","given":"Taylor Olmsted","non-dropping-particle":"","parse-names":false,"suffix":""}],"container-title":"Immune Hematology: Diagnosis and Management of Autoimmune Cytopenias","id":"ITEM-2","issued":{"date-parts":[["2018"]]},"number-of-pages":"17-33","title":"Pathophysiology of immune thrombocytopenia","type":"book"},"uris":["http://www.mendeley.com/documents/?uuid=5db4ecde-991f-4771-bb35-a9e8f49b8059","http://www.mendeley.com/documents/?uuid=68b419a8-9e7a-4117-8229-4777d43fda56","http://www.mendeley.com/documents/?uuid=7c850eac-1037-476a-9b0f-b9aabea0dee0"]}],"mendeley":{"formattedCitation":"[13,19]","plainTextFormattedCitation":"[13,19]","previouslyFormattedCitation":"(13,19)"},"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[13,19]</w:t>
      </w:r>
      <w:r>
        <w:rPr>
          <w:rFonts w:ascii="Palatino Linotype" w:hAnsi="Palatino Linotype"/>
          <w:color w:val="000000"/>
          <w:sz w:val="20"/>
          <w:szCs w:val="20"/>
          <w:lang w:val="en-US"/>
        </w:rPr>
        <w:fldChar w:fldCharType="end"/>
      </w:r>
      <w:r w:rsidRPr="00475A35">
        <w:rPr>
          <w:rFonts w:ascii="Palatino Linotype" w:hAnsi="Palatino Linotype"/>
          <w:color w:val="000000"/>
          <w:sz w:val="20"/>
          <w:szCs w:val="20"/>
          <w:lang w:val="sv-SE"/>
        </w:rPr>
        <w:t xml:space="preserve">. </w:t>
      </w:r>
    </w:p>
    <w:p w14:paraId="77A2F2E1" w14:textId="61467D8A" w:rsidR="004923A1" w:rsidRPr="00AE4DEC" w:rsidRDefault="004923A1" w:rsidP="000D153F">
      <w:pPr>
        <w:pStyle w:val="ListParagraph"/>
        <w:spacing w:after="0" w:line="240" w:lineRule="auto"/>
        <w:ind w:left="993" w:firstLine="447"/>
        <w:jc w:val="both"/>
        <w:rPr>
          <w:rFonts w:ascii="Palatino Linotype" w:hAnsi="Palatino Linotype"/>
          <w:color w:val="000000"/>
          <w:sz w:val="20"/>
          <w:szCs w:val="20"/>
          <w:lang w:val="sv-SE"/>
        </w:rPr>
      </w:pPr>
      <w:r w:rsidRPr="00475A35">
        <w:rPr>
          <w:rFonts w:ascii="Palatino Linotype" w:hAnsi="Palatino Linotype"/>
          <w:color w:val="000000"/>
          <w:sz w:val="20"/>
          <w:szCs w:val="20"/>
          <w:lang w:val="sv-SE"/>
        </w:rPr>
        <w:t xml:space="preserve">Studi observasional retrospektif oleh Berrueco pada tahun 2023 melibatkan 18 anak dengan autoimmune cytopenias (AC) yang diobati menggunakan mikofenolat mofetil (MMF) pada dosis 20-30 mg/kg per hari. Hasilnya menunjukkan tingkat respons sebesar 73,3%, dengan semua pasien anak yang memiliki sindrom Evans mencapai respons lengkap. Laporan kasus juga menyoroti penggunaan MMF jangka panjang yang menghasilkan remisi berkelanjutan, termasuk satu anak yang tetap bebas penyakit selama 4 tahun setelah penghentian MMF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{"citationItems":[{"id":"ITEM-1","itemData":{"DOI":"10.3389/fped.2023.1174671","ISSN":"22962360","abstract":"Second-line treatments of autoimmune cytopenias (AC) are not well-defined in children. Mycophenolate mofetil (MMF) is an immunosuppressant agent that has been demonstrated to be safe and effective in this setting. A retrospective observational study was conducted in 18 children with prolonged AC who received MMF, in order to describe clinical and biological markers of response. The overall response rate of MMF at 20–30 mg/kg per day was 73.3%. All patients with Evans syndrome (n = 9) achieved complete response. Among the patients with monolineage AC (n = 9), those with an underlying inborn errors of immunity (IEI), tended to respond better to MMF. No biological markers related to treatment response were found. Rather, lymphocyte subpopulations proved useful for patient selection as a marker suggestive of IEI along with immunoglobulin-level determination.","author":[{"dropping-particle":"","family":"Berrueco","given":"Rubén","non-dropping-particle":"","parse-names":false,"suffix":""},{"dropping-particle":"","family":"González-Forster","given":"Elisa","non-dropping-particle":"","parse-names":false,"suffix":""},{"dropping-particle":"","family":"Deya-Martinez","given":"Angela","non-dropping-particle":"","parse-names":false,"suffix":""},{"dropping-particle":"","family":"Solsona","given":"María","non-dropping-particle":"","parse-names":false,"suffix":""},{"dropping-particle":"","family":"García-García","given":"Ana","non-dropping-particle":"","parse-names":false,"suffix":""},{"dropping-particle":"","family":"Calzada-Hernández","given":"Joan","non-dropping-particle":"","parse-names":false,"suffix":""},{"dropping-particle":"","family":"Yiyi","given":"Luo","non-dropping-particle":"","parse-names":false,"suffix":""},{"dropping-particle":"","family":"Vlagea","given":"Alexandru","non-dropping-particle":"","parse-names":false,"suffix":""},{"dropping-particle":"","family":"Ruiz-Llobet","given":"Anna","non-dropping-particle":"","parse-names":false,"suffix":""},{"dropping-particle":"","family":"Alsina","given":"Laia","non-dropping-particle":"","parse-names":false,"suffix":""}],"container-title":"Frontiers in Pediatrics","id":"ITEM-1","issue":"October","issued":{"date-parts":[["2023"]]},"page":"1-7","title":"Mycophenolate mofetil for autoimmune cytopenias in children: high rates of response in inborn errors of immunity","type":"article-journal","volume":"11"},"uris":["http://www.mendeley.com/documents/?uuid=68557fd5-1435-4a9c-b607-3e06dd501b2f","http://www.mendeley.com/documents/?uuid=5b498389-d323-49cb-8c47-b2e035f020ac"]}],"mendeley":{"formattedCitation":"[31]","plainTextFormattedCitation":"[31]","previouslyFormattedCitation":"(31)"},"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[31]</w:t>
      </w:r>
      <w:r>
        <w:rPr>
          <w:rFonts w:ascii="Palatino Linotype" w:hAnsi="Palatino Linotype"/>
          <w:color w:val="000000"/>
          <w:sz w:val="20"/>
          <w:szCs w:val="20"/>
          <w:lang w:val="en-US"/>
        </w:rPr>
        <w:fldChar w:fldCharType="end"/>
      </w:r>
      <w:r w:rsidRPr="00AE4DEC">
        <w:rPr>
          <w:rFonts w:ascii="Palatino Linotype" w:hAnsi="Palatino Linotype"/>
          <w:color w:val="000000"/>
          <w:sz w:val="20"/>
          <w:szCs w:val="20"/>
          <w:lang w:val="sv-SE"/>
        </w:rPr>
        <w:t>. Sebuah laporan kasus pada anak usia 18 bulan yang refrakter terhadap berbagai terapi seperti steroid, IVIG, rituximab, dan siklofosfamid, kemudian diobati dengan siklosporin. Setelah 6 bulan, terapi dilanjutkan dengan MMF dosis 50 mg/kg/hari disertai pengurangan bertahap siklosporin selama dua bulan. Pendekatan imunosupresif gabungan ini menghasilkan peningkatan stabil pada hemoglobin (&gt;12 g/dL) dan trombosit (&gt;20.000/</w:t>
      </w:r>
      <w:r w:rsidRPr="004923A1">
        <w:rPr>
          <w:rFonts w:ascii="Palatino Linotype" w:hAnsi="Palatino Linotype"/>
          <w:color w:val="000000"/>
          <w:sz w:val="20"/>
          <w:szCs w:val="20"/>
          <w:lang w:val="en-US"/>
        </w:rPr>
        <w:t>μ</w:t>
      </w:r>
      <w:r w:rsidRPr="00AE4DEC">
        <w:rPr>
          <w:rFonts w:ascii="Palatino Linotype" w:hAnsi="Palatino Linotype"/>
          <w:color w:val="000000"/>
          <w:sz w:val="20"/>
          <w:szCs w:val="20"/>
          <w:lang w:val="sv-SE"/>
        </w:rPr>
        <w:t xml:space="preserve">L) dalam beberapa bulan. Hemoglobin membaik segera setelah penghentian siklosporin, dan trombosit kembali normal setelah 8 bulan terapi MMF. Uji antiglobulin langsung (DAT) hampir negatif pada hari ke-45 terapi MMF, dengan jumlah retikulosit turun di bawah 2%. Setelah satu tahun, MMF dikurangi secara bertahap dan dihentikan selama sembilan bulan, sementara DAT tetap negatif selama 12 bulan pasca-penghentian. Tidak ada efek samping obat yang dilaporkan selama pengobatan </w:t>
      </w:r>
      <w:r>
        <w:rPr>
          <w:rFonts w:ascii="Palatino Linotype" w:hAnsi="Palatino Linotype"/>
          <w:color w:val="000000"/>
          <w:sz w:val="20"/>
          <w:szCs w:val="20"/>
          <w:lang w:val="en-US"/>
        </w:rPr>
        <w:fldChar w:fldCharType="begin" w:fldLock="1"/>
      </w:r>
      <w:r w:rsidR="00AE4DEC" w:rsidRPr="00AE4DEC">
        <w:rPr>
          <w:rFonts w:ascii="Palatino Linotype" w:hAnsi="Palatino Linotype"/>
          <w:color w:val="000000"/>
          <w:sz w:val="20"/>
          <w:szCs w:val="20"/>
          <w:lang w:val="sv-SE"/>
        </w:rPr>
        <w:instrText>ADDIN CSL_CITATION {"citationItems":[{"id":"ITEM-1","itemData":{"DOI":"10.4081/pr.2011.e15","ISSN":"20367503","abstract":"Evans Syndrome is a rare autoimmune disease consisting of hemolytic anemia, thrombocytopenia and/or neutropenia. It may be associated with other autoimmune or lymphoproliferative diseases. Its course can be extremely serious and, rarely, even life-threatening; thus it represents a excellent treatment challenge for the pediatric hematologist. First line treatment consists of steroids and/or immunoglobulin; further therapy with rituximab, vincristine, cyclophosphamide and other immu -nosuppressive drugs can be considered in unresponsive patients. We describe a baby with refractory Evans Syndrome that was cured by prolonged administration of mycophenolate mofetil and remained disease-free for 4 years after the discontinuation of treatment. © P. Farruggia et al., 2011. Licensee PAGEPress, Italy.","author":[{"dropping-particle":"","family":"Farruggia","given":"Piero","non-dropping-particle":"","parse-names":false,"suffix":""},{"dropping-particle":"","family":"Macaluso","given":"Alessandra","non-dropping-particle":"","parse-names":false,"suffix":""},{"dropping-particle":"","family":"Tropia","given":"Serena","non-dropping-particle":"","parse-names":false,"suffix":""},{"dropping-particle":"","family":"Genova","given":"Selene","non-dropping-particle":"","parse-names":false,"suffix":""},{"dropping-particle":"","family":"Paolicchi","given":"Olivia","non-dropping-particle":"","parse-names":false,"suffix":""},{"dropping-particle":"","family":"Marco","given":"Floriana","non-dropping-particle":"Di","parse-names":false,"suffix":""},{"dropping-particle":"","family":"D'Angelo","given":"Paolo","non-dropping-particle":"","parse-names":false,"suffix":""}],"container-title":"Pediatric Reports","id":"ITEM-1","issue":"2","issued":{"date-parts":[["2011"]]},"page":"49-50","title":"Effectiveness of cyclosporine and mycophenolate mofetil in a child with refractory evans syndrome","type":"article-journal","volume":"3"},"uris":["http://www.mendeley.com/documents/?uuid=4017538a-57f7-40e7-b097-8f2683064948","http://www.mendeley.com/documents/?uuid=764fdf86-4ac2-4ab3-8fae-7a223216e8e0"]}],"mendeley":{"formattedCitation":"[33]","plainTextFormattedCitation":"[33]","previouslyFormattedCitation":"(33)"},"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[33]</w:t>
      </w:r>
      <w:r>
        <w:rPr>
          <w:rFonts w:ascii="Palatino Linotype" w:hAnsi="Palatino Linotype"/>
          <w:color w:val="000000"/>
          <w:sz w:val="20"/>
          <w:szCs w:val="20"/>
          <w:lang w:val="en-US"/>
        </w:rPr>
        <w:fldChar w:fldCharType="end"/>
      </w:r>
      <w:r w:rsidRPr="00AE4DEC">
        <w:rPr>
          <w:rFonts w:ascii="Palatino Linotype" w:hAnsi="Palatino Linotype"/>
          <w:color w:val="000000"/>
          <w:sz w:val="20"/>
          <w:szCs w:val="20"/>
          <w:lang w:val="sv-SE"/>
        </w:rPr>
        <w:t xml:space="preserve">. Secara keseluruhan, MMF terbukti menjadi terapi imunosupresif yang aman dan efektif untuk anak dan dewasa dengan </w:t>
      </w:r>
      <w:r w:rsidRPr="00AE4DEC">
        <w:rPr>
          <w:rFonts w:ascii="Palatino Linotype" w:hAnsi="Palatino Linotype"/>
          <w:i/>
          <w:iCs/>
          <w:color w:val="000000"/>
          <w:sz w:val="20"/>
          <w:szCs w:val="20"/>
          <w:lang w:val="sv-SE"/>
        </w:rPr>
        <w:t>autoimmune cytopenias</w:t>
      </w:r>
      <w:r w:rsidRPr="00AE4DEC">
        <w:rPr>
          <w:rFonts w:ascii="Palatino Linotype" w:hAnsi="Palatino Linotype"/>
          <w:color w:val="000000"/>
          <w:sz w:val="20"/>
          <w:szCs w:val="20"/>
          <w:lang w:val="sv-SE"/>
        </w:rPr>
        <w:t>, terutama pada kasus sindrom Evans dan pasien dengan gangguan imun bawaan, dengan tingkat respons yang tinggi dan profil efek samping yang dapat diterima.</w:t>
      </w:r>
    </w:p>
    <w:p w14:paraId="55800998" w14:textId="288BA607" w:rsidR="000D153F" w:rsidRDefault="000D153F" w:rsidP="000D153F">
      <w:pPr>
        <w:pStyle w:val="ListParagraph"/>
        <w:numPr>
          <w:ilvl w:val="0"/>
          <w:numId w:val="46"/>
        </w:num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t>Siklosporin</w:t>
      </w:r>
    </w:p>
    <w:p w14:paraId="1F4C8F8E" w14:textId="703FE048" w:rsidR="004923A1" w:rsidRDefault="004923A1" w:rsidP="004923A1">
      <w:pPr>
        <w:pStyle w:val="ListParagraph"/>
        <w:spacing w:after="0" w:line="240" w:lineRule="auto"/>
        <w:ind w:left="1134" w:firstLine="306"/>
        <w:jc w:val="both"/>
        <w:rPr>
          <w:rFonts w:ascii="Palatino Linotype" w:hAnsi="Palatino Linotype"/>
          <w:color w:val="000000"/>
          <w:sz w:val="20"/>
          <w:szCs w:val="20"/>
          <w:lang w:val="en-US"/>
        </w:rPr>
      </w:pPr>
      <w:r w:rsidRPr="004923A1">
        <w:rPr>
          <w:rFonts w:ascii="Palatino Linotype" w:hAnsi="Palatino Linotype"/>
          <w:color w:val="000000"/>
          <w:sz w:val="20"/>
          <w:szCs w:val="20"/>
          <w:lang w:val="en-US"/>
        </w:rPr>
        <w:t xml:space="preserve">Siklosporin telah digunakan sejak tahun 1994 pada sejumlah kecil pasien dengan sindrom Evans (ES) sebagai agen penghemat steroid. Penggunaannya dianjurkan terutama pada kondisi refrakter yang parah, khususnya dalam pengobatan multiobat. Siklosporin merupakan pilihan imunosupresif lini kedua untuk sindrom Evans, terutama pada kasus yang resisten terhadap terapi lini pertama seperti kortikosteroid dan imunoglobulin intravena (IVIG). Mekanisme kerja siklosporin adalah menghambat aktivasi sel T dengan cara mengikat secara intraseluler protein siklofilin-1, membentuk kompleks yang menghambat kalsineurin—enzim fosfatase penting untuk aktivasi faktor inti sel T yang diaktifkan (NF-AT). Normalnya, kalsineurin mendefosforilasi NF-AT sehingga dapat memasuki nukleus dan meningkatkan transkripsi sitokin seperti IL-2, IL-4, interferon-gamma, dan TNF-alfa, yang esensial bagi aktivasi sel T dan respons inflamasi. Dengan menghambat kalsineurin, siklosporin menekan produksi IL-2 dan </w:t>
      </w:r>
      <w:r w:rsidRPr="004923A1">
        <w:rPr>
          <w:rFonts w:ascii="Palatino Linotype" w:hAnsi="Palatino Linotype"/>
          <w:color w:val="000000"/>
          <w:sz w:val="20"/>
          <w:szCs w:val="20"/>
          <w:lang w:val="en-US"/>
        </w:rPr>
        <w:lastRenderedPageBreak/>
        <w:t>proliferasi sel T, sehingga meredam respons autoimun yang menjadi inti patogenesis ITP, AIHA, dan sindrom Evans (kombinasi ITP dan AIHA)</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{"citationItems":[{"id":"ITEM-1","itemData":{"DOI":"10.3389/fped.2023.1174671","ISSN":"22962360","abstract":"Second-line treatments of autoimmune cytopenias (AC) are not well-defined in children. Mycophenolate mofetil (MMF) is an immunosuppressant agent that has been demonstrated to be safe and effective in this setting. A retrospective observational study was conducted in 18 children with prolonged AC who received MMF, in order to describe clinical and biological markers of response. The overall response rate of MMF at 20–30 mg/kg per day was 73.3%. All patients with Evans syndrome (n = 9) achieved complete response. Among the patients with monolineage AC (n = 9), those with an underlying inborn errors of immunity (IEI), tended to respond better to MMF. No biological markers related to treatment response were found. Rather, lymphocyte subpopulations proved useful for patient selection as a marker suggestive of IEI along with immunoglobulin-level determination.","author":[{"dropping-particle":"","family":"Berrueco","given":"Rubén","non-dropping-particle":"","parse-names":false,"suffix":""},{"dropping-particle":"","family":"González-Forster","given":"Elisa","non-dropping-particle":"","parse-names":false,"suffix":""},{"dropping-particle":"","family":"Deya-Martinez","given":"Angela","non-dropping-particle":"","parse-names":false,"suffix":""},{"dropping-particle":"","family":"Solsona","given":"María","non-dropping-particle":"","parse-names":false,"suffix":""},{"dropping-particle":"","family":"García-García","given":"Ana","non-dropping-particle":"","parse-names":false,"suffix":""},{"dropping-particle":"","family":"Calzada-Hernández","given":"Joan","non-dropping-particle":"","parse-names":false,"suffix":""},{"dropping-particle":"","family":"Yiyi","given":"Luo","non-dropping-particle":"","parse-names":false,"suffix":""},{"dropping-particle":"","family":"Vlagea","given":"Alexandru","non-dropping-particle":"","parse-names":false,"suffix":""},{"dropping-particle":"","family":"Ruiz-Llobet","given":"Anna","non-dropping-particle":"","parse-names":false,"suffix":""},{"dropping-particle":"","family":"Alsina","given":"Laia","non-dropping-particle":"","parse-names":false,"suffix":""}],"container-title":"Frontiers in Pediatrics","id":"ITEM-1","issue":"October","issued":{"date-parts":[["2023"]]},"page":"1-7","title":"Mycophenolate mofetil for autoimmune cytopenias in children: high rates of response in inborn errors of immunity","type":"article-journal","volume":"11"},"uris":["http://www.mendeley.com/documents/?uuid=68557fd5-1435-4a9c-b607-3e06dd501b2f","http://www.mendeley.com/documents/?uuid=5b498389-d323-49cb-8c47-b2e035f020ac"]},{"id":"ITEM-2","itemData":{"DOI":"10.1016/j.htct.2022.01.011","ISSN":"25311387","abstract":"Introduction: The Evans syndrome (ES) is a rare, often chronic, relapsing and treatment-refractory hematological disorder. We described the clinical features, diagnostic workup, treatment and outcome in patients with ES. Method: We performed a retrospective chart review of patients aged &lt; 18 years with ES admitted to a tertiary center in Brazil from 2001 to 2021. The analysis of the data was primarily descriptive, using median, interquartile range and categorical variables presented in absolute frequencies. Main results: Twenty patients (12 female, 8 male) were evaluated in this study. The median age at the initial cytopenia was 4.98 years (1.30–12.57). The ES was secondary in nine cases (45%), of which six patients (30%) showed autoimmune disease (AID) or primary immunodeficiencies (PID) and one presented a spontaneous recovery. Steroids and intravenous immunoglobulin were first-line therapy in 19 cases. Twelve patients (63%) required second-line treatments (rituximab, cyclosporine, splenectomy, sirolimus, cyclophosphamide, mycophenolate mofetil, azathioprine and eltrombopag). The median follow-up period was 2.41 years (1.4 –7.52). One patient (5%) died of underlying neuroblastoma, one case (5%) was lost to follow-up and four patients (20%) received a medical discharge. The median age for the 14 remaining cases was 12.6 years. Twelve patients (85.7%) were in complete response (CR) with no therapies. Two patients (14.3%) were in CR with chronic therapy. Conclusion: As ES may be a symptom of AID and PID, a thorough rheumatological, immunologic and genetic workup and a careful follow-up are essential. The second-line treatment remains a dilemma. Further prospective studies are needed to address the optimal therapeutic combinations, morbidity and mortality in this disorder.","author":[{"dropping-particle":"","family":"Blanco","given":"Bruna Paccola","non-dropping-particle":"","parse-names":false,"suffix":""},{"dropping-particle":"","family":"Garanito","given":"Marlene Pereira","non-dropping-particle":"","parse-names":false,"suffix":""}],"container-title":"Hematology, Transfusion and Cell Therapy","id":"ITEM-2","issue":"2","issued":{"date-parts":[["2023"]]},"page":"196-203","publisher":"Elsevier Espana, S.L.","title":"Pediatric Evans Syndrome: A 20-year experience from a tertiary center in Brazil","type":"article-journal","volume":"45"},"uris":["http://www.mendeley.com/documents/?uuid=6f7d2307-621a-4e68-938d-5fd78ca321b0","http://www.mendeley.com/documents/?uuid=4ec25289-a07f-4196-9c4a-d0101885b565","http://www.mendeley.com/documents/?uuid=b7f9ac75-60a4-4930-b2eb-dede484debc0"]}],"mendeley":{"formattedCitation":"[11,31]","plainTextFormattedCitation":"[11,31]","previouslyFormattedCitation":"(11,31)"},"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[11,31]</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w:t>
      </w:r>
    </w:p>
    <w:p w14:paraId="51271F29" w14:textId="3EA21BF5" w:rsidR="004923A1" w:rsidRDefault="004923A1" w:rsidP="004923A1">
      <w:pPr>
        <w:pStyle w:val="ListParagraph"/>
        <w:spacing w:after="0" w:line="240" w:lineRule="auto"/>
        <w:ind w:left="1134" w:firstLine="306"/>
        <w:jc w:val="both"/>
        <w:rPr>
          <w:rFonts w:ascii="Palatino Linotype" w:hAnsi="Palatino Linotype"/>
          <w:color w:val="000000"/>
          <w:sz w:val="20"/>
          <w:szCs w:val="20"/>
          <w:lang w:val="en-US"/>
        </w:rPr>
      </w:pPr>
      <w:r w:rsidRPr="004923A1">
        <w:rPr>
          <w:rFonts w:ascii="Palatino Linotype" w:hAnsi="Palatino Linotype"/>
          <w:color w:val="000000"/>
          <w:sz w:val="20"/>
          <w:szCs w:val="20"/>
          <w:lang w:val="en-US"/>
        </w:rPr>
        <w:t>Berbagai studi melaporkan keberhasilan siklosporin pada pasien refrakter terhadap steroid, IVIG, atau imunosupresan lain. Dari 28 pasien yang diobati, 26 menunjukkan respons yang sangat baik. Laporan awal penggunaan siklosporin pada sindrom Evans melibatkan pemberian dosis 5 mg/kg dua kali sehari bersamaan dengan prednisolon pada seorang gadis 6 tahun dengan hemolisis parah yang refrakter terhadap terapi lain, termasuk splenektomi. Setelah 8 minggu terapi, jumlah darah membaik dan dosis steroid dapat dikurangi secara signifikan. Pasien ini tetap bebas dari episode hemolisis atau trombositopenia serius selama hampir 2 tahun, tanpa efek samping miopati steroid yang parah</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{"citationItems":[{"id":"ITEM-1","itemData":{"DOI":"10.1111/j.1365-2141.2005.05809.x","ISSN":"00071048","PMID":"16398647","abstract":"Evans syndrome is an uncommon condition defined by the combination (either simultaneously or sequentially) of immune thrombocytopenia (ITP) and autoimmune haemolytic anaemia (AIHA) with a positive direct antiglobulin test (DAT) in the absence of known underlying aetiology. This condition generally runs a chronic course and is characterised by frequent exacerbations and remissions. First-line therapy is usually corticosteroids and/or intravenous immunoglobulin, to which most patients respond; however, relapse is frequent. Options for second-line therapy include immunosuppressive drugs, especially ciclosporin or mycophenolate mofetil; vincristine; danazol or a combination of these agents. More recently a small number of patients have been treated with rituximab, which induces remission in the majority although such responses are often sustained for &lt;12 months and the long-term effects in children are unclear. Splenectomy may also be considered although long-term remissions are less frequent than in uncomplicated ITP. For very severe and refractory cases stem cell transplantation (SCT) offers the only chance of long-term cure. The limited data available suggest that allogeneic SCT may be superior to autologous SCT but both carry risks of severe morbidity and of transplant-related mortality. Cure following reduced-intensity conditioning has now been reported and should be considered for younger patients in the context of controlled clinical trials. © 2005 Blackwell Publishing Ltd.","author":[{"dropping-particle":"","family":"Norton","given":"Alice","non-dropping-particle":"","parse-names":false,"suffix":""},{"dropping-particle":"","family":"Roberts","given":"Irene","non-dropping-particle":"","parse-names":false,"suffix":""}],"container-title":"British Journal of Haematology","id":"ITEM-1","issue":"2","issued":{"date-parts":[["2006"]]},"page":"125-137","title":"Management of Evans syndrome","type":"article-journal","volume":"132"},"uris":["http://www.mendeley.com/documents/?uuid=5dfad90c-80b1-4122-88fe-26a3116b5e10","http://www.mendeley.com/documents/?uuid=1e811a28-48b4-4bc7-b8ab-a0856ed2036a"]}],"mendeley":{"formattedCitation":"[19]","plainTextFormattedCitation":"[19]","previouslyFormattedCitation":"(19)"},"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[19]</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r w:rsidRPr="004923A1">
        <w:rPr>
          <w:rFonts w:ascii="Palatino Linotype" w:hAnsi="Palatino Linotype"/>
          <w:color w:val="000000"/>
          <w:sz w:val="20"/>
          <w:szCs w:val="20"/>
          <w:lang w:val="en-US"/>
        </w:rPr>
        <w:t>Pemilihan pasien untuk terapi siklosporin harus dilakukan dengan hati-hati, terutama pada kasus tanpa respons terhadap obat yang kurang toksik. Pemantauan konsentrasi serum siklosporin wajib dilakukan karena risiko efek samping serius seperti nefrotoksisitas dan keganasan, yang dapat muncul bahkan pada dosis rendah setelah penggunaan jangka panjang. Satu laporan kasus pada anak dengan sindrom Evans refrakter terhadap berbagai terapi menunjukkan bahwa penambahan mikofenolat mofetil (MMF) pada siklosporin memperkuat efek terapeutik, dengan normalisasi hemoglobin dan perbaikan trombosit setelah sekitar 8 bulan terapi kombinasi. Anak tersebut tetap bebas penyakit selama 4 tahun setelah penghentian pengobatan</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{"citationItems":[{"id":"ITEM-1","itemData":{"DOI":"10.2147/JBM.S176144","ISSN":"11792736","PMID":"30349415","abstract":"Evans syndrome (ES) is a rare and chronic autoimmune disease characterized by autoimmune hemolytic anemia and immune thrombocytopenic purpura with a positive direct anti-human globulin test. It is classified as primary and secondary, with the frequency in patients with autoimmune hemolytic anemia being 37%–73%. It predominates in children, mainly due to primary immunodeficiencies or autoimmune lymphoproliferative syndrome. ES during pregnancy is associated with high fetal morbidity, including severe hemolysis and intracranial bleeding with neurological sequelae and death. The clinical presentation can include fatigue, pallor, jaundice and mucosal bleeding, with remissions and exacerbations during the person’s lifetime, and acute manifestations as catastrophic bleeding and massive hemolysis. Recent molecular theories explaining the physiopathology of ES include deficiencies of CTLA-4, LRBA, TPP2 and a decreased CD4/CD8 ratio. As in other autoimmune cytopenias, there is no established evidence-based treatment and steroids are the first-line therapy, with intravenous immunoglobulin administered as a life-saving resource in cases of severe immune thrombocytopenic purpura manifestations. Second-line treatment for refractory ES includes rituximab, mofetil mycophenolate, cyclosporine, vincristine, azathioprine, sirolimus and thrombopoietin receptor agonists. In cases unresponsive to immunosuppressive agents, hematopoietic stem cell transplantation has been successful, although it is necessary to consider its potential serious adverse effects. In conclusion, ES is a disease with a heterogeneous course that remains challenging to patients and physicians, with prospective clinical trials needed to explore potential targeted therapy to achieve an improved long-term response or even a cure.","author":[{"dropping-particle":"","family":"Jaime-Pérez","given":"José Carlos","non-dropping-particle":"","parse-names":false,"suffix":""},{"dropping-particle":"","family":"Elva","given":"Patrizia","non-dropping-particle":"","parse-names":false,"suffix":""},{"dropping-particle":"","family":"Aguilar-Calderón","given":"","non-dropping-particle":"","parse-names":false,"suffix":""},{"dropping-particle":"","family":"Salazar-Cavazos","given":"Lorena","non-dropping-particle":"","parse-names":false,"suffix":""},{"dropping-particle":"","family":"Gómez-Almaguer","given":"David","non-dropping-particle":"","parse-names":false,"suffix":""}],"container-title":"Journal of Blood Medicine","id":"ITEM-1","issued":{"date-parts":[["2018"]]},"page":"171-184","title":"Evans syndrome: Clinical perspectives, biological insights and treatment modalities","type":"article-journal","volume":"9"},"uris":["http://www.mendeley.com/documents/?uuid=761b199c-2af2-4eb5-bcd8-3e906bcd2a66","http://www.mendeley.com/documents/?uuid=ccfdb421-1aec-4488-bbe0-83dd784ef9a3"]},{"id":"ITEM-2","itemData":{"DOI":"10.1111/j.1365-2141.2005.05809.x","ISSN":"00071048","PMID":"16398647","abstract":"Evans syndrome is an uncommon condition defined by the combination (either simultaneously or sequentially) of immune thrombocytopenia (ITP) and autoimmune haemolytic anaemia (AIHA) with a positive direct antiglobulin test (DAT) in the absence of known underlying aetiology. This condition generally runs a chronic course and is characterised by frequent exacerbations and remissions. First-line therapy is usually corticosteroids and/or intravenous immunoglobulin, to which most patients respond; however, relapse is frequent. Options for second-line therapy include immunosuppressive drugs, especially ciclosporin or mycophenolate mofetil; vincristine; danazol or a combination of these agents. More recently a small number of patients have been treated with rituximab, which induces remission in the majority although such responses are often sustained for &lt;12 months and the long-term effects in children are unclear. Splenectomy may also be considered although long-term remissions are less frequent than in uncomplicated ITP. For very severe and refractory cases stem cell transplantation (SCT) offers the only chance of long-term cure. The limited data available suggest that allogeneic SCT may be superior to autologous SCT but both carry risks of severe morbidity and of transplant-related mortality. Cure following reduced-intensity conditioning has now been reported and should be considered for younger patients in the context of controlled clinical trials. © 2005 Blackwell Publishing Ltd.","author":[{"dropping-particle":"","family":"Norton","given":"Alice","non-dropping-particle":"","parse-names":false,"suffix":""},{"dropping-particle":"","family":"Roberts","given":"Irene","non-dropping-particle":"","parse-names":false,"suffix":""}],"container-title":"British Journal of Haematology","id":"ITEM-2","issue":"2","issued":{"date-parts":[["2006"]]},"page":"125-137","title":"Management of Evans syndrome","type":"article-journal","volume":"132"},"uris":["http://www.mendeley.com/documents/?uuid=5dfad90c-80b1-4122-88fe-26a3116b5e10","http://www.mendeley.com/documents/?uuid=1e811a28-48b4-4bc7-b8ab-a0856ed2036a","http://www.mendeley.com/documents/?uuid=f2d02fdc-8ae3-49e4-be3b-2a64a20f4690"]}],"mendeley":{"formattedCitation":"[1,19]","plainTextFormattedCitation":"[1,19]","previouslyFormattedCitation":"(1,19)"},"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[1,19]</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516DEC3B" w14:textId="602A79B6" w:rsidR="004923A1" w:rsidRDefault="004923A1" w:rsidP="004923A1">
      <w:pPr>
        <w:pStyle w:val="ListParagraph"/>
        <w:spacing w:after="0" w:line="240" w:lineRule="auto"/>
        <w:ind w:left="1134" w:firstLine="306"/>
        <w:jc w:val="both"/>
        <w:rPr>
          <w:rFonts w:ascii="Palatino Linotype" w:hAnsi="Palatino Linotype"/>
          <w:color w:val="000000"/>
          <w:sz w:val="20"/>
          <w:szCs w:val="20"/>
          <w:lang w:val="en-US"/>
        </w:rPr>
      </w:pPr>
      <w:r w:rsidRPr="004923A1">
        <w:rPr>
          <w:rFonts w:ascii="Palatino Linotype" w:hAnsi="Palatino Linotype"/>
          <w:color w:val="000000"/>
          <w:sz w:val="20"/>
          <w:szCs w:val="20"/>
          <w:lang w:val="en-US"/>
        </w:rPr>
        <w:t>Siklosporin umumnya diberikan pada dosis sekitar 5 mg/kg/hari dan berfungsi dengan menghambat kalsineurin, sehingga menghambat proliferasi sel T dan bantuan sel B. MMF bekerja dengan mengurangi kumpulan nukleotida guanin yang memengaruhi proliferasi limfosit T dan B. Terapi kombinasi siklosporin dan MMF menunjukkan efektivitas lebih tinggi dibandingkan siklosporin saja, terutama dalam meningkatkan kadar hemoglobin dan jumlah trombosit, meskipun kontribusi pasti MMF terhadap normalisasi trombosit masih belum sepenuhnya jelas</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{"citationItems":[{"id":"ITEM-1","itemData":{"DOI":"10.4081/pr.2011.e15","ISSN":"20367503","abstract":"Evans Syndrome is a rare autoimmune disease consisting of hemolytic anemia, thrombocytopenia and/or neutropenia. It may be associated with other autoimmune or lymphoproliferative diseases. Its course can be extremely serious and, rarely, even life-threatening; thus it represents a excellent treatment challenge for the pediatric hematologist. First line treatment consists of steroids and/or immunoglobulin; further therapy with rituximab, vincristine, cyclophosphamide and other immu -nosuppressive drugs can be considered in unresponsive patients. We describe a baby with refractory Evans Syndrome that was cured by prolonged administration of mycophenolate mofetil and remained disease-free for 4 years after the discontinuation of treatment. © P. Farruggia et al., 2011. Licensee PAGEPress, Italy.","author":[{"dropping-particle":"","family":"Farruggia","given":"Piero","non-dropping-particle":"","parse-names":false,"suffix":""},{"dropping-particle":"","family":"Macaluso","given":"Alessandra","non-dropping-particle":"","parse-names":false,"suffix":""},{"dropping-particle":"","family":"Tropia","given":"Serena","non-dropping-particle":"","parse-names":false,"suffix":""},{"dropping-particle":"","family":"Genova","given":"Selene","non-dropping-particle":"","parse-names":false,"suffix":""},{"dropping-particle":"","family":"Paolicchi","given":"Olivia","non-dropping-particle":"","parse-names":false,"suffix":""},{"dropping-particle":"","family":"Marco","given":"Floriana","non-dropping-particle":"Di","parse-names":false,"suffix":""},{"dropping-particle":"","family":"D'Angelo","given":"Paolo","non-dropping-particle":"","parse-names":false,"suffix":""}],"container-title":"Pediatric Reports","id":"ITEM-1","issue":"2","issued":{"date-parts":[["2011"]]},"page":"49-50","title":"Effectiveness of cyclosporine and mycophenolate mofetil in a child with refractory evans syndrome","type":"article-journal","volume":"3"},"uris":["http://www.mendeley.com/documents/?uuid=764fdf86-4ac2-4ab3-8fae-7a223216e8e0","http://www.mendeley.com/documents/?uuid=4017538a-57f7-40e7-b097-8f2683064948"]}],"mendeley":{"formattedCitation":"[33]","plainTextFormattedCitation":"[33]","previouslyFormattedCitation":"(33)"},"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[33]</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69FAD388" w14:textId="2A653973" w:rsidR="004923A1" w:rsidRPr="004923A1" w:rsidRDefault="004923A1" w:rsidP="004923A1">
      <w:pPr>
        <w:pStyle w:val="ListParagraph"/>
        <w:spacing w:after="0" w:line="240" w:lineRule="auto"/>
        <w:ind w:left="1134" w:firstLine="306"/>
        <w:jc w:val="both"/>
        <w:rPr>
          <w:rFonts w:ascii="Palatino Linotype" w:hAnsi="Palatino Linotype"/>
          <w:color w:val="000000"/>
          <w:sz w:val="20"/>
          <w:szCs w:val="20"/>
          <w:lang w:val="en-US"/>
        </w:rPr>
      </w:pPr>
      <w:r w:rsidRPr="004923A1">
        <w:rPr>
          <w:rFonts w:ascii="Palatino Linotype" w:hAnsi="Palatino Linotype"/>
          <w:color w:val="000000"/>
          <w:sz w:val="20"/>
          <w:szCs w:val="20"/>
          <w:lang w:val="en-US"/>
        </w:rPr>
        <w:t xml:space="preserve">Penelitian retrospektif oleh Bruno Fattizzo </w:t>
      </w:r>
      <w:r w:rsidRPr="004923A1">
        <w:rPr>
          <w:rFonts w:ascii="Palatino Linotype" w:hAnsi="Palatino Linotype"/>
          <w:i/>
          <w:iCs/>
          <w:color w:val="000000"/>
          <w:sz w:val="20"/>
          <w:szCs w:val="20"/>
          <w:lang w:val="en-US"/>
        </w:rPr>
        <w:t>et al</w:t>
      </w:r>
      <w:r w:rsidRPr="004923A1">
        <w:rPr>
          <w:rFonts w:ascii="Palatino Linotype" w:hAnsi="Palatino Linotype"/>
          <w:color w:val="000000"/>
          <w:sz w:val="20"/>
          <w:szCs w:val="20"/>
          <w:lang w:val="en-US"/>
        </w:rPr>
        <w:t>.</w:t>
      </w:r>
      <w:r>
        <w:rPr>
          <w:rFonts w:ascii="Palatino Linotype" w:hAnsi="Palatino Linotype"/>
          <w:color w:val="000000"/>
          <w:sz w:val="20"/>
          <w:szCs w:val="20"/>
          <w:lang w:val="en-US"/>
        </w:rPr>
        <w:t>,</w:t>
      </w:r>
      <w:r w:rsidRPr="004923A1">
        <w:rPr>
          <w:rFonts w:ascii="Palatino Linotype" w:hAnsi="Palatino Linotype"/>
          <w:color w:val="000000"/>
          <w:sz w:val="20"/>
          <w:szCs w:val="20"/>
          <w:lang w:val="en-US"/>
        </w:rPr>
        <w:t xml:space="preserve"> (2022) di dua pusat rujukan di Milan, Italia, melibatkan 39 pasien dengan ITP dan AIHA yang telah menjalani rata-rata 4 terapi sebelumnya. Siklosporin A menunjukkan tingkat respons keseluruhan sekitar 80%, dengan respons 86% pada ITP dan 50% pada AIHA. Respons ini mencakup perbaikan parsial dan lengkap pada kadar hemoglobin dan jumlah trombosit yang dinilai pada bulan ke-3, ke-6, dan ke-12 terapi. Pengobatan ini memungkinkan banyak pasien mengurangi atau menghentikan terapi bersamaan seperti kortikosteroid dan agonis reseptor trombopoietin (TPO-RA). Siklosporin A efektif mengendalikan fluktuasi trombosit pada ITP yang menjalani TPO-RA dan pada AIHA yang gagal dengan rituximab. Durasi median pengobatan adalah 28 bulan, menunjukkan kemanjuran berkelanjutan. Secara umum, siklosporin A ditoleransi dengan baik, meskipun infeksi serius lebih sering terjadi pada pasien lanjut usia yang juga menerima steroid. Efek samping lain yang dilaporkan termasuk edema dan toksisitas yang dapat dikelola. Studi ini menegaskan siklosporin sebagai pilihan pengobatan efektif dan relatif aman untuk ITP refrakter dan AIHA, terutama jika terapi lini kedua lain gagal atau kontraindikasi</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{"citationItems":[{"id":"ITEM-1","itemData":{"DOI":"10.1182/bloodadvances.2021005610","ISSN":"24739537","PMID":"34592758","abstract":"Evans syndrome (ES) is a rare condition, defined as the presence of 2 autoimmune cytopenias, most frequently autoimmune hemolytic anemia and immune thrombocytopenia (ITP) and rarely autoimmune neutropenia. ES can be classified as primary or secondary to various conditions, including lymphoproliferative disorders, other systemic autoimmune diseases, and primary immunodeficiencies, particularly in children. In adult ES, little is known about clinical features, disease associations, and outcomes. In this retrospective international study, we analyzed 116 adult patients followed at 13 European tertiary centers, focusing on treatment requirements, occurrence of complications, and death. ES was secondary to or associated with underlying conditions in 24 cases (21%), mainly other autoimmune diseases and hematologic neoplasms. Bleeding occurred in 42% of patients, mainly low grade and at ITP onset. Almost all patients received first-line treatment (steroids with or without intravenous immunoglobulin), and 23% needed early additional therapy for primary refractoriness. Additional therapy lines included rituximab, splenectomy, immunosuppressants, thrombopoietin receptor agonists, and others, with response rates .80%. However, a remarkable number of relapses occurred, requiring $3 therapy lines in 54% of cases. Infections and thrombotic complications occurred in 33% and 21% of patients, respectively, mainly grade $3, and correlated with the number of therapy lines. In addition to age, other factors negatively affecting survival were severe anemia at onset and occurrence of relapse, infection, and thrombosis. These data show that adult ES is often severe and marked by a relapsing clinical course and potentially fatal complications, pinpointing the need for high clinical awareness, prompt therapy, and anti-infectious/anti-thrombotic prophylaxis.","author":[{"dropping-particle":"","family":"Fattizzo","given":"Bruno","non-dropping-particle":"","parse-names":false,"suffix":""},{"dropping-particle":"","family":"Michel","given":"Marc","non-dropping-particle":"","parse-names":false,"suffix":""},{"dropping-particle":"","family":"Giannotta","given":"Juri Alessandro","non-dropping-particle":"","parse-names":false,"suffix":""},{"dropping-particle":"","family":"Hansen","given":"Dennis Lund","non-dropping-particle":"","parse-names":false,"suffix":""},{"dropping-particle":"","family":"Arguello","given":"Maria","non-dropping-particle":"","parse-names":false,"suffix":""},{"dropping-particle":"","family":"Sutto","given":"Emanuele","non-dropping-particle":"","parse-names":false,"suffix":""},{"dropping-particle":"","family":"Bianchetti","given":"Nicola","non-dropping-particle":"","parse-names":false,"suffix":""},{"dropping-particle":"","family":"Patriarca","given":"Andrea","non-dropping-particle":"","parse-names":false,"suffix":""},{"dropping-particle":"","family":"Cantoni","given":"Silvia","non-dropping-particle":"","parse-names":false,"suffix":""},{"dropping-particle":"","family":"Mingot-Castellano","given":"Marıa Eva","non-dropping-particle":"","parse-names":false,"suffix":""},{"dropping-particle":"","family":"McDonald","given":"Vickie","non-dropping-particle":"","parse-names":false,"suffix":""},{"dropping-particle":"","family":"Capecchi","given":"Marco","non-dropping-particle":"","parse-names":false,"suffix":""},{"dropping-particle":"","family":"Zaninoni","given":"Anna","non-dropping-particle":"","parse-names":false,"suffix":""},{"dropping-particle":"","family":"Consonni","given":"Dario","non-dropping-particle":"","parse-names":false,"suffix":""},{"dropping-particle":"","family":"Vos","given":"Josephine Mathilde","non-dropping-particle":"","parse-names":false,"suffix":""},{"dropping-particle":"","family":"Vianelli","given":"Nicola","non-dropping-particle":"","parse-names":false,"suffix":""},{"dropping-particle":"","family":"Chen","given":"Frederick","non-dropping-particle":"","parse-names":false,"suffix":""},{"dropping-particle":"","family":"Glenthøj","given":"Andreas","non-dropping-particle":"","parse-names":false,"suffix":""},{"dropping-particle":"","family":"Frederiksen","given":"Henrik","non-dropping-particle":"","parse-names":false,"suffix":""},{"dropping-particle":"","family":"Gonzalez-Lopez","given":"Tomas Jose","non-dropping-particle":"","parse-names":false,"suffix":""},{"dropping-particle":"","family":"Barcellini","given":"Wilma","non-dropping-particle":"","parse-names":false,"suffix":""}],"container-title":"Blood Advances","id":"ITEM-1","issue":"24","issued":{"date-parts":[["2021"]]},"page":"5468-5478","title":"Evans syndrome in adults: an observational multicenter study","type":"article-journal","volume":"5"},"uris":["http://www.mendeley.com/documents/?uuid=0e52c6fe-07f9-461e-94b4-fc23299afae4","http://www.mendeley.com/documents/?uuid=3d5cb8b8-cb7b-478e-ac69-1b3ffdea266b"]}],"mendeley":{"formattedCitation":"[8]","plainTextFormattedCitation":"[8]","previouslyFormattedCitation":"(8)"},"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[8]</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6234803C" w14:textId="40D743E1" w:rsidR="005804FE" w:rsidRDefault="000D153F" w:rsidP="005804FE">
      <w:pPr>
        <w:pStyle w:val="ListParagraph"/>
        <w:numPr>
          <w:ilvl w:val="0"/>
          <w:numId w:val="46"/>
        </w:numPr>
        <w:spacing w:after="0" w:line="240" w:lineRule="auto"/>
        <w:jc w:val="both"/>
        <w:rPr>
          <w:rFonts w:ascii="Palatino Linotype" w:hAnsi="Palatino Linotype"/>
          <w:b/>
          <w:bCs/>
          <w:color w:val="000000"/>
          <w:sz w:val="20"/>
          <w:szCs w:val="20"/>
          <w:lang w:val="en-US"/>
        </w:rPr>
      </w:pPr>
      <w:r>
        <w:rPr>
          <w:rFonts w:ascii="Palatino Linotype" w:hAnsi="Palatino Linotype"/>
          <w:b/>
          <w:bCs/>
          <w:color w:val="000000"/>
          <w:sz w:val="20"/>
          <w:szCs w:val="20"/>
          <w:lang w:val="en-US"/>
        </w:rPr>
        <w:t>Azatiopri</w:t>
      </w:r>
      <w:r w:rsidR="005804FE">
        <w:rPr>
          <w:rFonts w:ascii="Palatino Linotype" w:hAnsi="Palatino Linotype"/>
          <w:b/>
          <w:bCs/>
          <w:color w:val="000000"/>
          <w:sz w:val="20"/>
          <w:szCs w:val="20"/>
          <w:lang w:val="en-US"/>
        </w:rPr>
        <w:t>n</w:t>
      </w:r>
    </w:p>
    <w:p w14:paraId="361432B1" w14:textId="6E153FA9" w:rsidR="005804FE" w:rsidRDefault="005804FE" w:rsidP="005804FE">
      <w:pPr>
        <w:pStyle w:val="ListParagraph"/>
        <w:spacing w:after="0" w:line="240" w:lineRule="auto"/>
        <w:ind w:left="993" w:firstLine="447"/>
        <w:jc w:val="both"/>
        <w:rPr>
          <w:rFonts w:ascii="Palatino Linotype" w:hAnsi="Palatino Linotype"/>
          <w:color w:val="000000"/>
          <w:sz w:val="20"/>
          <w:szCs w:val="20"/>
          <w:lang w:val="en-US"/>
        </w:rPr>
      </w:pPr>
      <w:r w:rsidRPr="005804FE">
        <w:rPr>
          <w:rFonts w:ascii="Palatino Linotype" w:hAnsi="Palatino Linotype"/>
          <w:color w:val="000000"/>
          <w:sz w:val="20"/>
          <w:szCs w:val="20"/>
          <w:lang w:val="en-US"/>
        </w:rPr>
        <w:t xml:space="preserve">Azathioprine digunakan sebagai imunosupresan dalam pengobatan sindrom Evans, terutama pada kasus yang refrakter terhadap terapi lini pertama seperti kortikosteroid dan imunoglobulin intravena (IVIg). Sindrom Evans melibatkan sistem imun yang menyerang sel darah melalui produksi autoantibodi, sehingga azathioprine berperan menekan sistem imun untuk mengurangi kerusakan tersebut. Obat ini telah digunakan lebih dari 50 tahun untuk mengobati penyakit autoimun, keganasan hematologi, serta mencegah penolakan transplantasi organ. Azathioprine merupakan obat pendahulu yang dimetabolisme secara nonenzimatis menjadi 6-merkaptopurin (6-MP), lalu diubah menjadi metabolit aktif seperti nukleotida 6-tioguanin. Metabolit ini menghambat sintesis purin, yang penting untuk pembentukan DNA dan RNA, sehingga menghambat proliferasi limfosit. Dengan demikian, azathioprine menekan produksi DNA dan RNA yang diperlukan untuk pembentukan sel darah putih, sehingga menekan sistem kekebalan tubuh dan menghambat respon autoimun pada sindrom Evans. Hal ini </w:t>
      </w:r>
      <w:r w:rsidRPr="005804FE">
        <w:rPr>
          <w:rFonts w:ascii="Palatino Linotype" w:hAnsi="Palatino Linotype"/>
          <w:color w:val="000000"/>
          <w:sz w:val="20"/>
          <w:szCs w:val="20"/>
          <w:lang w:val="en-US"/>
        </w:rPr>
        <w:lastRenderedPageBreak/>
        <w:t>membantu menurunkan kerusakan sel darah merah dan trombosit serta mengendalikan sitopenia</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{"citationItems":[{"id":"ITEM-1","itemData":{"DOI":"10.1172/JCI200318384","ISSN":"00219738","PMID":"12697731","author":[{"dropping-particle":"","family":"Maltzman","given":"Jonathan S.","non-dropping-particle":"","parse-names":false,"suffix":""},{"dropping-particle":"","family":"Koretzky","given":"Gary A.","non-dropping-particle":"","parse-names":false,"suffix":""}],"container-title":"Journal of Clinical Investigation","id":"ITEM-1","issue":"8","issued":{"date-parts":[["2003"]]},"page":"1122-1124","title":"Azathioprine: Old drug, new actions","type":"article-journal","volume":"111"},"uris":["http://www.mendeley.com/documents/?uuid=b41aff3f-3121-4ba0-aaad-d67829ccaa45","http://www.mendeley.com/documents/?uuid=1c87831e-fc0c-4b2d-a80c-9256d1696b59"]},{"id":"ITEM-2","itemData":{"DOI":"10.1016/j.bvth.2024.100035","ISSN":"2950-3272","author":[{"dropping-particle":"","family":"Le-nguyen","given":"Alexandre","non-dropping-particle":"","parse-names":false,"suffix":""},{"dropping-particle":"","family":"Mortuza","given":"Shamim","non-dropping-particle":"","parse-names":false,"suffix":""},{"dropping-particle":"","family":"Hsia","given":"Cyrus C","non-dropping-particle":"","parse-names":false,"suffix":""}],"container-title":"Blood Vessels, Thrombosis &amp; Hemostasis","id":"ITEM-2","issue":"1","issued":{"date-parts":[["2025"]]},"page":"100035","publisher":"The American Society of Hematology","title":"Role of azathioprine in the management of ITP in the TPO-RA era : a single-center retrospective study","type":"article-journal","volume":"2"},"uris":["http://www.mendeley.com/documents/?uuid=2ec438c2-d642-4b84-ab75-e763d6ba0d0f","http://www.mendeley.com/documents/?uuid=6dad697c-cc49-424f-9d37-c32508b192f6"]}],"mendeley":{"formattedCitation":"[34,35]","plainTextFormattedCitation":"[34,35]","previouslyFormattedCitation":"(34,35)"},"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[34,35]</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3EC59B4D" w14:textId="63F5B55B" w:rsidR="005804FE" w:rsidRDefault="005804FE" w:rsidP="005804FE">
      <w:pPr>
        <w:pStyle w:val="ListParagraph"/>
        <w:spacing w:after="0" w:line="240" w:lineRule="auto"/>
        <w:ind w:left="993" w:firstLine="447"/>
        <w:jc w:val="both"/>
        <w:rPr>
          <w:rFonts w:ascii="Palatino Linotype" w:hAnsi="Palatino Linotype"/>
          <w:color w:val="000000"/>
          <w:sz w:val="20"/>
          <w:szCs w:val="20"/>
          <w:lang w:val="en-US"/>
        </w:rPr>
      </w:pPr>
      <w:r w:rsidRPr="005804FE">
        <w:rPr>
          <w:rFonts w:ascii="Palatino Linotype" w:hAnsi="Palatino Linotype"/>
          <w:color w:val="000000"/>
          <w:sz w:val="20"/>
          <w:szCs w:val="20"/>
          <w:lang w:val="en-US"/>
        </w:rPr>
        <w:t>Azathioprine efektif mengendalikan anemia hemolitik autoimun dan trombositopenia pada sindrom Evans, baik digunakan sendiri maupun dikombinasikan dengan steroid. Obat ini dianggap sebagai pilihan pengobatan lini kedua atau ketiga setelah rituximab, atau saat pasien tidak merespon rituximab dengan baik, dengan tingkat respons pada pasien dewasa berkisar antara 45% hingga 71%. Pada pasien hamil dengan sindrom Evans yang sudah didiagnosis sebelum kehamilan, azathioprine dapat digunakan sebagai terapi pemeliharaan untuk menjaga stabilitas kondisi. Namun, karena efeknya baru muncul setelah beberapa minggu, azathioprine kurang cocok untuk pengobatan akut ES yang baru berkembang selama kehamilan, di mana dibutuhkan respons cepat</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{"citationItems":[{"id":"ITEM-1","itemData":{"DOI":"10.3390/jcm9123851","ISSN":"20770383","PMID":"33260979","abstract":"Evans’ syndrome (ES) is defined as the concomitant or sequential association of warm auto-immune haemolytic anaemia (AIHA) with immune thrombocytopenia (ITP), and less frequently autoimmune neutropenia. ES is a rare situation that represents up to 7% of AIHA and around 2% of ITP. When AIHA and ITP occurred concomitantly, the diagnosis procedure must rule out differential diagnoses such as thrombotic microangiopathies, anaemia due to bleedings complicating ITP, vitamin deficiencies, myelodysplastic syndromes, paroxysmal nocturnal haemoglobinuria, or specific conditions like HELLP when occurring during pregnancy. As for isolated auto-immune cytopenia (AIC), the determination of the primary or secondary nature of ES is important. Indeed, the association of ES with other diseases such as haematological malignancies, systemic lupus erythematosus, infections, or primary immune deficiencies can interfere with its management or alter its prognosis. Due to the rarity of the disease, the treatment of ES is mostly extrapolated from what is recommended for isolated AIC and mostly relies on corticosteroids, rituximab, splenectomy, and supportive therapies. The place for thrombopoietin receptor agonists, erythropoietin, immunosuppressants, haematopoietic cell transplantation, and thromboprophylaxis is also discussed in this review. Despite continuous progress in the management of AIC and a gradual increase in ES survival, the mortality due to ES remains higher than the ones of isolated AIC, supporting the need for an improvement in ES management.","author":[{"dropping-particle":"","family":"Audia","given":"Sylvain","non-dropping-particle":"","parse-names":false,"suffix":""},{"dropping-particle":"","family":"Grienay","given":"Natacha","non-dropping-particle":"","parse-names":false,"suffix":""},{"dropping-particle":"","family":"Mounier","given":"Morgane","non-dropping-particle":"","parse-names":false,"suffix":""},{"dropping-particle":"","family":"Michel","given":"Marc","non-dropping-particle":"","parse-names":false,"suffix":""},{"dropping-particle":"","family":"Bonnotte","given":"Bernard","non-dropping-particle":"","parse-names":false,"suffix":""}],"container-title":"Journal of Clinical Medicine","id":"ITEM-1","issue":"12","issued":{"date-parts":[["2020"]]},"page":"1-22","title":"Evans’ syndrome: From diagnosis to treatment","type":"article-journal","volume":"9"},"uris":["http://www.mendeley.com/documents/?uuid=99e78dbf-8a8f-430b-bddb-a451279d1d77","http://www.mendeley.com/documents/?uuid=f8d1607d-9bb7-46ae-a3a5-b5dfe5fe482b"]},{"id":"ITEM-2","itemData":{"DOI":"10.1016/j.htct.2022.01.011","ISSN":"25311387","abstract":"Introduction: The Evans syndrome (ES) is a rare, often chronic, relapsing and treatment-refractory hematological disorder. We described the clinical features, diagnostic workup, treatment and outcome in patients with ES. Method: We performed a retrospective chart review of patients aged &lt; 18 years with ES admitted to a tertiary center in Brazil from 2001 to 2021. The analysis of the data was primarily descriptive, using median, interquartile range and categorical variables presented in absolute frequencies. Main results: Twenty patients (12 female, 8 male) were evaluated in this study. The median age at the initial cytopenia was 4.98 years (1.30–12.57). The ES was secondary in nine cases (45%), of which six patients (30%) showed autoimmune disease (AID) or primary immunodeficiencies (PID) and one presented a spontaneous recovery. Steroids and intravenous immunoglobulin were first-line therapy in 19 cases. Twelve patients (63%) required second-line treatments (rituximab, cyclosporine, splenectomy, sirolimus, cyclophosphamide, mycophenolate mofetil, azathioprine and eltrombopag). The median follow-up period was 2.41 years (1.4 –7.52). One patient (5%) died of underlying neuroblastoma, one case (5%) was lost to follow-up and four patients (20%) received a medical discharge. The median age for the 14 remaining cases was 12.6 years. Twelve patients (85.7%) were in complete response (CR) with no therapies. Two patients (14.3%) were in CR with chronic therapy. Conclusion: As ES may be a symptom of AID and PID, a thorough rheumatological, immunologic and genetic workup and a careful follow-up are essential. The second-line treatment remains a dilemma. Further prospective studies are needed to address the optimal therapeutic combinations, morbidity and mortality in this disorder.","author":[{"dropping-particle":"","family":"Blanco","given":"Bruna Paccola","non-dropping-particle":"","parse-names":false,"suffix":""},{"dropping-particle":"","family":"Garanito","given":"Marlene Pereira","non-dropping-particle":"","parse-names":false,"suffix":""}],"container-title":"Hematology, Transfusion and Cell Therapy","id":"ITEM-2","issue":"2","issued":{"date-parts":[["2023"]]},"page":"196-203","publisher":"Elsevier Espana, S.L.","title":"Pediatric Evans Syndrome: A 20-year experience from a tertiary center in Brazil","type":"article-journal","volume":"45"},"uris":["http://www.mendeley.com/documents/?uuid=6f7d2307-621a-4e68-938d-5fd78ca321b0","http://www.mendeley.com/documents/?uuid=4ec25289-a07f-4196-9c4a-d0101885b565","http://www.mendeley.com/documents/?uuid=967fd06d-d377-469b-a471-d1e47e28872f"]}],"mendeley":{"formattedCitation":"[2,11]","plainTextFormattedCitation":"[2,11]","previouslyFormattedCitation":"(2,11)"},"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[2,11]</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46B97AA8" w14:textId="3079B69A" w:rsidR="005804FE" w:rsidRDefault="005804FE" w:rsidP="005804FE">
      <w:pPr>
        <w:pStyle w:val="ListParagraph"/>
        <w:spacing w:after="0" w:line="240" w:lineRule="auto"/>
        <w:ind w:left="993" w:firstLine="447"/>
        <w:jc w:val="both"/>
        <w:rPr>
          <w:rFonts w:ascii="Palatino Linotype" w:hAnsi="Palatino Linotype"/>
          <w:color w:val="000000"/>
          <w:sz w:val="20"/>
          <w:szCs w:val="20"/>
          <w:lang w:val="en-US"/>
        </w:rPr>
      </w:pPr>
      <w:r w:rsidRPr="005804FE">
        <w:rPr>
          <w:rFonts w:ascii="Palatino Linotype" w:hAnsi="Palatino Linotype"/>
          <w:color w:val="000000"/>
          <w:sz w:val="20"/>
          <w:szCs w:val="20"/>
          <w:lang w:val="en-US"/>
        </w:rPr>
        <w:t xml:space="preserve">Pada kasus yang sebelumnya dipaparkan oleh </w:t>
      </w:r>
      <w:r>
        <w:rPr>
          <w:rFonts w:ascii="Palatino Linotype" w:hAnsi="Palatino Linotype"/>
          <w:color w:val="000000"/>
          <w:sz w:val="20"/>
          <w:szCs w:val="20"/>
          <w:lang w:val="en-US"/>
        </w:rPr>
        <w:t>Turgutkaya et al., (2022),</w:t>
      </w:r>
      <w:r w:rsidRPr="005804FE">
        <w:rPr>
          <w:rFonts w:ascii="Palatino Linotype" w:hAnsi="Palatino Linotype"/>
          <w:color w:val="000000"/>
          <w:sz w:val="20"/>
          <w:szCs w:val="20"/>
          <w:lang w:val="en-US"/>
        </w:rPr>
        <w:t xml:space="preserve"> terkait kasus langka sindrom Evans yang dipicu oleh COVID-19, dimana pasien sebelumnya mendapatkan metilprednisolon dengan terapi IVIG namun perbaikan hematologi parsial sehingga terapi yang diberikan azathioprine sebab rituximab tidak tersedia. Azathioprine 50 mg/hari dimulai, dan hasilnya adalah dapat meningkatkan hemoglobin dan jumlah trombosit ke tingkat yang mendekati normal (masing-masing 11,5 g/dL dan 142.000/mm3) dalam waktu 2 bulan</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{"citationItems":[{"id":"ITEM-1","itemData":{"author":[{"dropping-particle":"","family":"Turgutkaya","given":"Atakan","non-dropping-particle":"","parse-names":false,"suffix":""},{"dropping-particle":"","family":"Bolaman","given":"Ali Zahit","non-dropping-particle":"","parse-names":false,"suffix":""},{"dropping-particle":"","family":"Yavasoglu","given":"Irfan","non-dropping-particle":"","parse-names":false,"suffix":""}],"id":"ITEM-1","issue":"January","issued":{"date-parts":[["2022"]]},"title":"COVID-19-associated Evans syndrome: A case report and review of the literature","type":"article-journal"},"uris":["http://www.mendeley.com/documents/?uuid=81cef63f-9fee-47d9-837c-1e9a5ca5488a","http://www.mendeley.com/documents/?uuid=f5a67ae9-72c1-437e-80c9-4728a6deb914"]}],"mendeley":{"formattedCitation":"[36]","plainTextFormattedCitation":"[36]","previouslyFormattedCitation":"(36)"},"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[36]</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Laporan kasus lainnya pada</w:t>
      </w:r>
      <w:r w:rsidRPr="005804FE">
        <w:rPr>
          <w:rFonts w:ascii="Palatino Linotype" w:hAnsi="Palatino Linotype"/>
          <w:color w:val="000000"/>
          <w:sz w:val="20"/>
          <w:szCs w:val="20"/>
          <w:lang w:val="en-US"/>
        </w:rPr>
        <w:t xml:space="preserve"> wanita menikah berusia 25 tahun datang ke rumah sakit dengan ulkus berukuran 5x6 cm di punggung kaki kanan, disertai demam, mual, muntah, sesak napas saat aktivitas, dan kelemahan umum selama 7-10 hari. Riwayat medisnya menunjukkan keguguran dua tahun lalu yang diikuti perdarahan gusi akibat trombositopenia berat. Pasien memerlukan transfusi berulang dan pengobatan dengan steroid serta azathioprine setelah didiagnosis dengan sindrom Evans. Pasien sempat membaik, namun setelah berjalan kaki tanpa alas kaki sejauh 7-8 km, muncul lepuhan pada kaki, dan ia menghentikan pengobatan. Setelah perawatan ulang dengan steroid dan antibiotik, kondisinya membaik, tetapi pasien tidak patuh dalam melakukan perawatan luka di rumah. Sepuluh hari kemudian, pasien kembali dirawat dengan demam, muntah, dan kelemahan berat. Ia mengalami perdarahan otak besar dan akhirnya meninggal akibat sepsis dan syok septik. Selama perawatan, pasien mulai mengonsumsi steroid intravena dan azathioprine setelah mengalami perdarahan berulang dan sitopenia. Kondisinya membaik dan pasien dipulangkan dengan terapi steroid oral dan azathioprine, yang awalnya menunjukkan respons yang baik. Namun, setelah dosis steroid dikurangi dan terapi dialihkan ke mycophenolate mofetil, jumlah sel darah merah pasien menurun sehingga memerlukan pemberian steroid kembali. Kasus ini menggarisbawahi peran azathioprine sebagai agen penghemat steroid dan penggunaannya dalam terapi pemeliharaan, meskipun hasil terapi dapat bervariasi tergantung pada kepatuhan pasien dan tingkat keparahan penyakit</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{"citationItems":[{"id":"ITEM-1","itemData":{"DOI":"10.36106/ijsr/8502659","abstract":"Evans Syndrome (ES) is de</w:instrText>
      </w:r>
      <w:r w:rsidR="00AE4DEC">
        <w:rPr>
          <w:rFonts w:ascii="Palatino Linotype" w:hAnsi="Palatino Linotype"/>
          <w:color w:val="000000"/>
          <w:sz w:val="20"/>
          <w:szCs w:val="20"/>
          <w:lang w:val="en-US"/>
        </w:rPr>
        <w:instrText>ned as the concomitant or sequential association of warm Autoimmune Hemolytic Anemia (AIHA) with Immune Thrombocytopenic Purpura (ITP), and less frequently autoimmune neutropenia. Its chronic course is characterized by recurrent relapses and remissions. The typical clinical course is chronic and relapsing, and therapy is generally progressive and of poor outcome. We present a case of evans syndrome who was doing well on treatment with azathioprine and steroids but deteriorated and succumbed to her illness due to non compliance","author":[{"dropping-particle":"","family":"Muley","given":"Arti","non-dropping-particle":"","parse-names":false,"suffix":""},{"dropping-particle":"","family":"Mitra","given":"Sona","non-dropping-particle":"","parse-names":false,"suffix":""},{"dropping-particle":"","family":"Viramgam","given":"Kuldeep","non-dropping-particle":"","parse-names":false,"suffix":""},{"dropping-particle":"","family":"Patel","given":"Zinal","non-dropping-particle":"","parse-names":false,"suffix":""},{"dropping-particle":"","family":"Vishwa","given":"Trivedi","non-dropping-particle":"","parse-names":false,"suffix":""}],"container-title":"International Journal of Scientific Research","id":"ITEM-1","issue":"1","issued":{"date-parts":[["2023"]]},"page":"76-77","title":"Evans Syndrome: a Case Report and Review","type":"article-journal","volume":"6"},"uris":["http://www.mendeley.com/documents/?uuid=e1f1c097-b394-4f0d-84e3-c025f2acd5b2","http://www.mendeley.com/documents/?uuid=08f5f84c-fcf7-4fe0-9f77-0d96fdaca366"]}],"mendeley":{"formattedCitation":"[37]","plainTextFormattedCitation":"[37]","previouslyFormattedCitation":"(37)"},"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[37]</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5BA7AE43" w14:textId="297B6A46" w:rsidR="005804FE" w:rsidRDefault="005804FE" w:rsidP="005804FE">
      <w:pPr>
        <w:pStyle w:val="ListParagraph"/>
        <w:spacing w:after="0" w:line="240" w:lineRule="auto"/>
        <w:ind w:left="993" w:firstLine="447"/>
        <w:jc w:val="both"/>
        <w:rPr>
          <w:rFonts w:ascii="Palatino Linotype" w:hAnsi="Palatino Linotype"/>
          <w:color w:val="000000"/>
          <w:sz w:val="20"/>
          <w:szCs w:val="20"/>
          <w:lang w:val="en-US"/>
        </w:rPr>
      </w:pPr>
      <w:r w:rsidRPr="005804FE">
        <w:rPr>
          <w:rFonts w:ascii="Palatino Linotype" w:hAnsi="Palatino Linotype"/>
          <w:color w:val="000000"/>
          <w:sz w:val="20"/>
          <w:szCs w:val="20"/>
          <w:lang w:val="en-US"/>
        </w:rPr>
        <w:t>Sebuah studi retrospektif pada tahun 2021 terhadap 63 pasien dengan ITP kronis yang diobati menggunakan azathioprine menunjukkan median waktu respons selama 95 hari, dengan tingkat respons keseluruhan sebesar 38,1% pada hari ke-90. Hanya satu pasien yang mencapai respons lengkap. Tingkat kekambuhan kumulatif selama lima tahun tercatat sebesar 21,2%. Pasien-pasien tersebut sebelumnya telah menjalani berbagai terapi, termasuk splenektomi dan rituximab. Azathioprine umumnya ditoleransi dengan baik; sekitar 41,27% pasien mengalami efek samping, yang paling umum adalah leukopenia, anemia, dan kelainan hepatobilier. Efek samping serius jarang terjadi, dengan satu kematian akibat sepsis berat yang dilaporkan</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{"citationItems":[{"id":"ITEM-1","itemData":{"ISSN":"2160-1992","PMID":"34322284","abstract":"BACKGROUND Immune thrombocytopenia (ITP) is a benign hematological disorder characterized by low platelet counts in peripheral blood and spectrum of various bleeding manifestations. Azathioprine is one of the effective, readily available, and affordable immunosupressants available for ITP management in developing countries. We aimed to study the efficacy and long-term safety profile of our patients with ITP who were treated with azathioprine. METHOD This was a retrospective, single-center study conducted at a tertiary care hospital in Northern India. The patients who had received at least one line of therapy before receiving azathioprine were included in this study. All patients received oral azathioprine at a dose of 1 mg/kg/day (50 mg or 100 mg tablet formulations were used), which was increased up to 2 mg/kg/day depending upon the response and adverse effects. RESULT Sixty-three patients were analyzed. Their median age was 28 years (range 15-68); 29/63 patients (46.03%) were females. The median duration from diagnosis to azathioprine initiation was 539 days (323 days-980.5 days). The patients included in the study had received a median of 3 (range 1-6) prior lines of therapies; 38/63 patients (60.32%) had received ≥3 prior therapies. Six patients (9.5%) had relapsed after splenectomy, and 16 patients (25.4%) had relapsed after receiving rituximab. The mean baseline platelet count was 10000/μL. The median time to response was 95 days (90 days-not reached) and the cumulative overall response rate (complete and partial response) at day 90 was 38.1%. Only one patient achieved complete response with azathioprine in our study. The cumulative rate of relapse at five years was 21.2%. Twenty-six patients stopped azathioprine after achieving some response (CR/PR) with Azathioprine for a median duration of 1067.5 days (range: 236 days-2465 days). They were followed up for a median of 870 days (range: 392 days-1928 days), and twelve of them relapsed. Twenty-six patients (26/63, 41.27%) reported one or more adverse events while on azathioprine. Leucopenia was the most frequent adverse event, followed by anemia and hepatobiliary laboratory abnormalities. Serious adverse events (grade ≥3 CTCAEv4) were noted in three patients (4.7%). One patient succumbed to severe sepsis multiorgan dysfunction while being on treatment. CONCLUSION We conclude that azathioprine has a good response rate in chronic ITP patients. It is well-tolerated with minimal and manageable side eff…","author":[{"dropping-particle":"","family":"Mishra","given":"Kundan","non-dropping-particle":"","parse-names":false,"suffix":""},{"dropping-particle":"","family":"Pramanik","given":"Suman","non-dropping-particle":"","parse-names":false,"suffix":""},{"dropping-particle":"","family":"Sandal","given":"Rajeev","non-dropping-particle":"","parse-names":false,"suffix":""},{"dropping-particle":"","family":"Jandial","given":"Aditya","non-dropping-particle":"","parse-names":false,"suffix":""},{"dropping-particle":"","family":"Sahu","given":"Kamal Kant","non-dropping-particle":"","parse-names":false,"suffix":""},{"dropping-particle":"","family":"Singh","given":"Kanwaljeet","non-dropping-particle":"","parse-names":false,"suffix":""},{"dropping-particle":"","family":"Khera","given":"Sanjeev","non-dropping-particle":"","parse-names":false,"suffix":""},{"dropping-particle":"","family":"Meshram","given":"Ashok","non-dropping-particle":"","parse-names":false,"suffix":""},{"dropping-particle":"","family":"Khurana","given":"Harshit","non-dropping-particle":"","parse-names":false,"suffix":""},{"dropping-particle":"","family":"Somasundaram","given":"Venkatesan","non-dropping-particle":"","parse-names":false,"suffix":""},{"dropping-particle":"","family":"Kumar","given":"Rajiv","non-dropping-particle":"","parse-names":false,"suffix":""},{"dropping-particle":"","family":"Kapoor","given":"Rajan","non-dropping-particle":"","parse-names":false,"suffix":""},{"dropping-particle":"","family":"Verma","given":"Tarun","non-dropping-particle":"","parse-names":false,"suffix":""},{"dropping-particle":"","family":"Sharma","given":"Sanjeevan","non-dropping-particle":"","parse-names":false,"suffix":""},{"dropping-particle":"","family":"Singh","given":"Jasjit","non-dropping-particle":"","parse-names":false,"suffix":""},{"dropping-particle":"","family":"Das","given":"Satyaranjan","non-dropping-particle":"","parse-names":false,"suffix":""},{"dropping-particle":"","family":"Chaterjee","given":"Tathagat","non-dropping-particle":"","parse-names":false,"suffix":""},{"dropping-particle":"","family":"Sharma","given":"Ajay","non-dropping-particle":"","parse-names":false,"suffix":""},{"dropping-particle":"","family":"Nair","given":"Velu","non-dropping-particle":"","parse-names":false,"suffix":""}],"container-title":"American journal of blood research","id":"ITEM-1","issue":"3","issued":{"date-parts":[["2021"]]},"page":"217-226","title":"Safety and efficacy of azathioprine in immune thrombocytopenia.","type":"article-journal","volume":"11"},"uris":["http://www.mendeley.com/documents/?uuid=fb4bd31f-7996-4839-9436-58d7dd9b09f8","http://www.mendeley.com/documents/?uuid=0629308e-9019-4431-903f-4cc90bd40712"]}],"mendeley":{"formattedCitation":"[38]","plainTextFormattedCitation":"[38]","previouslyFormattedCitation":"(38)"},"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[38]</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6DE86F25" w14:textId="5874E8C7" w:rsidR="000D153F" w:rsidRDefault="000D153F" w:rsidP="000D153F">
      <w:pPr>
        <w:pStyle w:val="ListParagraph"/>
        <w:numPr>
          <w:ilvl w:val="0"/>
          <w:numId w:val="46"/>
        </w:num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t>Siklofosfamid</w:t>
      </w:r>
    </w:p>
    <w:p w14:paraId="0FFA8F5C" w14:textId="6A91E8C9" w:rsidR="005804FE" w:rsidRDefault="005804FE" w:rsidP="003F44B6">
      <w:pPr>
        <w:pStyle w:val="ListParagraph"/>
        <w:spacing w:after="0" w:line="240" w:lineRule="auto"/>
        <w:ind w:left="993" w:firstLine="447"/>
        <w:jc w:val="both"/>
        <w:rPr>
          <w:rFonts w:ascii="Palatino Linotype" w:hAnsi="Palatino Linotype"/>
          <w:color w:val="000000"/>
          <w:sz w:val="20"/>
          <w:szCs w:val="20"/>
          <w:lang w:val="en-US"/>
        </w:rPr>
      </w:pPr>
      <w:r w:rsidRPr="005804FE">
        <w:rPr>
          <w:rFonts w:ascii="Palatino Linotype" w:hAnsi="Palatino Linotype"/>
          <w:color w:val="000000"/>
          <w:sz w:val="20"/>
          <w:szCs w:val="20"/>
          <w:lang w:val="en-US"/>
        </w:rPr>
        <w:t xml:space="preserve">Siklofosfamid digunakan sebagai pilihan pengobatan lini kedua untuk sindrom Evans (ES), terutama pada kasus refrakter yang tidak merespons terapi lini pertama seperti kortikosteroid atau imunoglobulin intravena (IVIG). Sebagai agen alkilasi kuat dengan efek anti-mitotik dan imunomodulatori, siklofosfamid banyak digunakan pada kanker dan penyakit autoimun. Obat ini bekerja melalui metabolit aktifnya, terutama fosforamida mustard, yang membentuk ikatan kovalen dengan DNA pada posisi N-7 basa guanin, baik di dalam maupun antar untaian DNA. Alkilasi DNA ini menghambat replikasi dan transkripsi DNA, menghentikan siklus sel terutama pada fase G1, dan akhirnya menginduksi apoptosis pada sel yang membelah cepat seperti sel imun dan sel kanker. Pada penyakit yang dimediasi imun seperti sindrom Evans, purpura </w:t>
      </w:r>
      <w:r w:rsidRPr="005804FE">
        <w:rPr>
          <w:rFonts w:ascii="Palatino Linotype" w:hAnsi="Palatino Linotype"/>
          <w:color w:val="000000"/>
          <w:sz w:val="20"/>
          <w:szCs w:val="20"/>
          <w:lang w:val="en-US"/>
        </w:rPr>
        <w:lastRenderedPageBreak/>
        <w:t>trombositopenik imun (ITP), dan anemia hemolitik autoimun (AIHA), efek imunosupresif siklofosfamid sangat penting. Dengan merusak DNA limfosit autoreaktif yang berproliferasi, obat ini mengurangi jumlah dan aktivitas sel tersebut sehingga menekan serangan imun pada sel darah. Selain itu, siklofosfamid juga memodulasi sistem imun dengan menghilangkan sel T regulator (CD4+CD25+), menginduksi faktor pertumbuhan sel T seperti interferon tipe I, serta menciptakan ceruk imunologi yang mendukung respons imun yang bermanfaat. Imunomodulasi ini membantu memulihkan keseimbangan imun dan meningkatkan efektivitas terapi sel T adoptif serta vaksinasi</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{"citationItems":[{"id":"ITEM-1","itemData":{"author":[{"dropping-particle":"","family":"Ogino","given":"Mari H","non-dropping-particle":"","parse-names":false,"suffix":""},{"dropping-particle":"","family":"Tadi","given":"Prasanna","non-dropping-particle":"","parse-names":false,"suffix":""}],"id":"ITEM-1","issued":{"date-parts":[["2023"]]},"title":"Cyclophosphamide","type":"article-journal"},"uris":["http://www.mendeley.com/documents/?uuid=4cc894b5-3c30-4f38-b226-023bc853028a","http://www.mendeley.com/documents/?uuid=4ede0872-bb31-459d-9e07-4391f83f78a8"]},{"id":"ITEM-2","itemData":{"DOI":"10.1007/s00280-016-3152-1","ISSN":"14320843","PMID":"27646791","abstract":"Cyclophosphamide is an alkylating agent belonging to the group of oxazaphosporines. As cyclophosphamide is in clinical use for more than 40 years, there is a lot of experience using this drug for the treatment of cancer and as an immunosuppressive agent for the treatment of autoimmune and immune-mediated diseases. Besides antimitotic and antireplicative effects, cyclophosphamide has immunosuppressive as well as immunomodulatory properties. Cyclophosphamide shows selectivity for T cells and is therefore now frequently used in tumour vaccination protocols and to control post-transplant allo-reactivity in haplo-identical unmanipulated bone marrow after transplantation. The schedule of administration is of special importance for the immunological effect: while cyclophosphamide can be used in high-dose therapy for the complete eradication of haematopoietic cells, lower doses of cyclophosphamide are relatively selective for T cells. Of special interest is the fact that a single administration of low-dose cyclophosphamide is able to selectively suppress regulatory T cells (Tregs). This effect can be used to counteract immunosuppression in cancer. However, cyclophosphamide can also increase the number of myeloid-derived suppressor cells. Combination of cyclophosphamide with other immunomodulatory agents could be a promising approach to treat different forms of advanced cancer.","author":[{"dropping-particle":"","family":"Ahlmann","given":"Martina","non-dropping-particle":"","parse-names":false,"suffix":""},{"dropping-particle":"","family":"Hempel","given":"Georg","non-dropping-particle":"","parse-names":false,"suffix":""}],"container-title":"Cancer Chemotherapy and Pharmacology","id":"ITEM-2","issue":"4","issued":{"date-parts":[["2016"]]},"page":"661-671","publisher":"Springer Berlin Heidelberg","title":"The effect of cyclophosphamide on the immune system: implications for clinical cancer therapy","type":"article-journal","volume":"78"},"uris":["http://www.mendeley.com/documents/?uuid=5a23d2ca-4578-448b-ab12-9db71e87d490","http://www.mendeley.com/documents/?uuid=a35cc5f0-8da6-4d34-b9c4-3d3605711265"]}],"mendeley":{"formattedCitation":"[39,40]","plainTextFormattedCitation":"[39,40]","previouslyFormattedCitation":"(39,40)"},"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[39,40]</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563CB647" w14:textId="3D9FF1BC" w:rsidR="003F44B6" w:rsidRPr="005804FE" w:rsidRDefault="003F44B6" w:rsidP="00B66C0E">
      <w:pPr>
        <w:pStyle w:val="ListParagraph"/>
        <w:spacing w:after="0" w:line="240" w:lineRule="auto"/>
        <w:ind w:left="0" w:firstLine="567"/>
        <w:jc w:val="both"/>
        <w:rPr>
          <w:rFonts w:ascii="Palatino Linotype" w:hAnsi="Palatino Linotype"/>
          <w:color w:val="000000"/>
          <w:sz w:val="20"/>
          <w:szCs w:val="20"/>
          <w:lang w:val="en-US"/>
        </w:rPr>
      </w:pPr>
      <w:r w:rsidRPr="003F44B6">
        <w:rPr>
          <w:rFonts w:ascii="Palatino Linotype" w:hAnsi="Palatino Linotype"/>
          <w:color w:val="000000"/>
          <w:sz w:val="20"/>
          <w:szCs w:val="20"/>
          <w:lang w:val="en-US"/>
        </w:rPr>
        <w:t>Siklofosfamid dapat menginduksi remisi pada pasien dengan sindrom Evans (ES), meskipun responsnya biasanya lambat tetapi progresif. Dalam sebuah laporan, 48 pasien dengan sitopenia autoimun yang terkait dengan leukemia limfositik kronis (CLL) dievaluasi. Delapan dari pasien tersebut memiliki ES dan diobati secara bersamaan dengan rituximab, deksametason, dan siklofosfamid, sehingga mencapai respons keseluruhan sebesar 75%. Namun, durasi respons pada pasien CLL dengan ES cenderung lebih pendek dibandingkan dengan pasien yang mengalami anemia hemolitik autoimun (AIHA) atau aplasia sel darah merah murni</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{"citationItems":[{"id":"ITEM-1","itemData":{"ISSN":"2160-1992","PMID":"23358715","abstract":"High dose cyclophosphamide (HiCY) without stem cell rescue has been shown to induce remissions in patients with severe autoimmune disorders (SADS). However, up to 80% of these patients ultimately relapse. Here we review the outcomes of seven patients treated with two cycles and one patient treated with three cycles of HiCY. The diseases re-treated were scleroderma, multiple sclerosis, three patients with severe aplastic anemia (SAA), and three patients with myasthenia gravis (MG). All but two patients with SAA had received standard immunomodulatory therapy for their disease up front and had been refractory. All patients had complete hematologic recovery. Overall survival in this cohort was 100%. All patients relapsed after the initial cycle but event free survival thereafter was 93.3%. All are still in remission except two MG patients, one of whom relapsed after a severe GI infection requiring hospitalization, and the other relapsed 3 years after the second treatment and she did not respond to the third treatment. This shows that HiCY can be safely re-administered in patients with SAA and refractory SADS. The qu</w:instrText>
      </w:r>
      <w:r w:rsidR="00AE4DEC" w:rsidRPr="00B66C0E">
        <w:rPr>
          <w:rFonts w:ascii="Palatino Linotype" w:hAnsi="Palatino Linotype"/>
          <w:color w:val="000000"/>
          <w:sz w:val="20"/>
          <w:szCs w:val="20"/>
          <w:lang w:val="sv-SE"/>
        </w:rPr>
        <w:instrText>ality and duration of second remissions appears to be equal or superior to the first remission.","author":[{"dropping-particle":"","family":"Dezern","given":"Amy E","non-dropping-particle":"","parse-names":false,"suffix":""},{"dropping-particle":"","family":"Styler","given":"Michael J","non-dropping-particle":"","parse-names":false,"suffix":""},{"dropping-particle":"","family":"Drachman","given":"Daniel B","non-dropping-particle":"","parse-names":false,"suffix":""},{"dropping-particle":"","family":"Hummers","given":"Laura K","non-dropping-particle":"","parse-names":false,"suffix":""},{"dropping-particle":"","family":"Jones","given":"Richard J","non-dropping-particle":"","parse-names":false,"suffix":""},{"dropping-particle":"","family":"Brodsky","given":"Robert A","non-dropping-particle":"","parse-names":false,"suffix":""}],"container-title":"American journal of blood research","id":"ITEM-1","issue":"1","issued":{"date-parts":[["2013"]]},"page":"84-90","title":"Repeated treatment with high dose cyclophosphamide for severe autoimmune diseases.","type":"article-journal","volume":"3"},"uris":["http://www.mendeley.com/documents/?uuid=41b1fe4a-eab5-4a7f-b8d6-fc9122d6b1c7","http://www.mendeley.com/documents/?uuid=62bfef8c-0754-46a1-98e0-bb2f81666cbc"]}],"mendeley":{"formattedCitation":"[41]","plainTextFormattedCitation":"[41]","previouslyFormattedCitation":"(41)"},"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[41]</w:t>
      </w:r>
      <w:r>
        <w:rPr>
          <w:rFonts w:ascii="Palatino Linotype" w:hAnsi="Palatino Linotype"/>
          <w:color w:val="000000"/>
          <w:sz w:val="20"/>
          <w:szCs w:val="20"/>
          <w:lang w:val="en-US"/>
        </w:rPr>
        <w:fldChar w:fldCharType="end"/>
      </w:r>
      <w:r w:rsidRPr="000E3166">
        <w:rPr>
          <w:rFonts w:ascii="Palatino Linotype" w:hAnsi="Palatino Linotype"/>
          <w:color w:val="000000"/>
          <w:sz w:val="20"/>
          <w:szCs w:val="20"/>
          <w:lang w:val="sv-SE"/>
        </w:rPr>
        <w:t xml:space="preserve">. Beberapa laporan juga menyebutkan penggunaan siklofosfamid pada sindrom Evans yang refrakter. Obat ini dilaporkan mampu menginduksi remisi trombositopenia pada pasien dengan dosis oral 1-2 mg/kg/hari selama 2 hingga 3 bulan. Selain itu, pada dosis tinggi (200 mg/kg) yang diberikan pada tiga pasien dengan kondisi autoimun berat (sindrom Evans, ITP, dan AIHA), tercapai respon parsial meskipun trombositopenia tidak parah dan Direct Antiglobulin Test (DAT) tetap positif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{"citationItems":[{"id":"ITEM-1","itemData":{"DOI":"10.1111/j.1365-2141.2005.05809.x","ISSN":"00071048","PMID":"16398647","abstract":"Evans syndrome is an uncommon condition defined by the combination (either simultaneously or sequentially) of immune thrombocytopenia (ITP) and autoimmune haemolytic anaemia (AIHA) with a positive direct antiglobulin test (DAT) in the absence of known underlying aetiology. This condition generally runs a chronic course and is characterised by frequent exacerbations and remissions. First-line therapy is usually corticosteroids and/or intravenous immunoglobulin, to which most patients respond; however, relapse is frequent. Options for second-line therapy include immunosuppressive drugs, especially ciclosporin or mycophenolate mofetil; vincristine; danazol or a combination of these agents. More recently a small number of patients have been treated with rituximab, which induces remission in the majority although such responses are often sustained for &lt;12 months and the long-term effects in children are unclear. Splenectomy may also be considered although long-term remissions are less frequent than in uncomplicated ITP. For very severe and refractory cases stem cell transplantation (SCT) offers the only chance of long-term cure. The limited data available suggest that allogeneic SCT may be superior to autologous SCT but both carry risks of severe morbidity and of transplant-related mortality. Cure following reduced-intensity conditioning has now been reported and should be considered for younger patients in the context of controlled clinical trials. © 2005 Blackwell Publishing Ltd.","author":[{"dropping-particle":"","family":"Norton","given":"Alice","non-dropping-particle":"","parse-names":false,"suffix":""},{"dropping-particle":"","family":"Roberts","given":"Irene","non-dropping-particle":"","parse-names":false,"suffix":""}],"container-title":"British Journal of Haematology","id":"ITEM-1","issue":"2","issued":{"date-parts":[["2006"]]},"page":"125-137","title":"Management of Evans syndrome","type":"article-journal","volume":"132"},"uris":["http://www.mendeley.com/documents/?uuid=5dfad90c-80b1-4122-88fe-26a3116b5e10","http://www.mendeley.com/documents/?uuid=1e811a28-48b4-4bc7-b8ab-a0856ed2036a"]}],"mendeley":{"formattedCitation":"[19]","plainTextFormattedCitation":"[19]","previouslyFormattedCitation":"(19)"},"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[19]</w:t>
      </w:r>
      <w:r>
        <w:rPr>
          <w:rFonts w:ascii="Palatino Linotype" w:hAnsi="Palatino Linotype"/>
          <w:color w:val="000000"/>
          <w:sz w:val="20"/>
          <w:szCs w:val="20"/>
          <w:lang w:val="en-US"/>
        </w:rPr>
        <w:fldChar w:fldCharType="end"/>
      </w:r>
      <w:r w:rsidRPr="000E3166">
        <w:rPr>
          <w:rFonts w:ascii="Palatino Linotype" w:hAnsi="Palatino Linotype"/>
          <w:color w:val="000000"/>
          <w:sz w:val="20"/>
          <w:szCs w:val="20"/>
          <w:lang w:val="sv-SE"/>
        </w:rPr>
        <w:t xml:space="preserve">. Siklofosfamid juga dilaporkan dapat menginduksi remisi pada kasus ES yang refrakter. Studi menunjukkan beberapa pasien mencapai respons lengkap (CR) atau respons parsial (PR) dengan pemberian siklofosfamid secara intravena pada dosis 500 mg/m² hingga 1.000 mg dosis total. Namun, obat ini umumnya digunakan pada kasus yang gagal merespons terapi steroid, imunoglobulin intravena (IVIG), dan rituximab, mengingat profil toksisitasnya yang signifikan, termasuk risiko infeksi dan keganasan sekunder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{"citationItems":[{"id":"ITEM-1","itemData":{"DOI":"10.2147/JBM.S176144","ISSN":"11792736","PMID":"30349415","abstract":"Evans syndrome (ES) is a rare and chronic autoimmune disease characterized by autoimmune hemolytic anemia and immune thrombocytopenic purpura with a positive direct anti-human globulin test. It is classified as primary and secondary, with the frequency in patients with autoimmune hemolytic anemia being 37%–73%. It predominates in children, mainly due to primary immunodeficiencies or autoimmune lymphoproliferative syndrome. ES during pregnancy is associated with high fetal morbidity, including severe hemolysis and intracranial bleeding with neurological sequelae and death. The clinical presentation can include fatigue, pallor, jaundice and mucosal bleeding, with remissions and exacerbations during the person’s lifetime, and acute manifestations as catastrophic bleeding and massive hemolysis. Recent molecular theories explaining the physiopathology of ES include deficiencies of CTLA-4, LRBA, TPP2 and a decreased CD4/CD8 ratio. As in other autoimmune cytopenias, there is no established evidence-based treatment and steroids are the first-line therapy, with intravenous immunoglobulin administered as a life-saving resource in cases of severe immune thrombocytopenic purpura manifestations. Second-line treatment for refractory ES includes rituximab, mofetil mycophenolate, cyclosporine, vincristine, azathioprine, sirolimus and thrombopoietin receptor agonists. In cases unresponsive to immunosuppressive agents, hematopoietic stem cell transplantation has been successful, although it is necessary to consider its potential serious adverse effects. In conclusion, ES is a disease with a heterogeneous course that remains challenging to patients and physicians, with prospective clinical trials needed to explore potential targeted therapy to achieve an improved long-term response or even a cure.","author":[{"dropping-particle":"","family":"Jaime-Pérez","given":"José Carlos","non-dropping-particle":"","parse-names":false,"suffix":""},{"dropping-particle":"","family":"Elva","given":"Patrizia","non-dropping-particle":"","parse-names":false,"suffix":""},{"dropping-particle":"","family":"Aguilar-Calderón","given":"","non-dropping-particle":"","parse-names":false,"suffix":""},{"dropping-particle":"","family":"Salazar-Cavazos","given":"Lorena","non-dropping-particle":"","parse-names":false,"suffix":""},{"dropping-particle":"","family":"Gómez-Almaguer","given":"David","non-dropping-particle":"","parse-names":false,"suffix":""}],"container-title":"Journal of Blood Medicine","id":"ITEM-1","issued":{"date-parts":[["2018"]]},"page":"171-184","title":"Evans syndrome: Clinical perspectives, biological insights and treatment modalities","type":"article-journal","volume":"9"},"uris":["http://www.mendeley.com/documents/?uuid=761b199c-2af2-4eb5-bcd8-3e906bcd2a66","http://www.mendeley.com/documents/?uuid=ccfdb421-1aec-4488-bbe0-83dd784ef9a3"]}],"mendeley":{"formattedCitation":"[1]","plainTextFormattedCitation":"[1]","previouslyFormattedCitation":"(1)"},"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[1]</w:t>
      </w:r>
      <w:r>
        <w:rPr>
          <w:rFonts w:ascii="Palatino Linotype" w:hAnsi="Palatino Linotype"/>
          <w:color w:val="000000"/>
          <w:sz w:val="20"/>
          <w:szCs w:val="20"/>
          <w:lang w:val="en-US"/>
        </w:rPr>
        <w:fldChar w:fldCharType="end"/>
      </w:r>
      <w:r w:rsidRPr="00B6358B">
        <w:rPr>
          <w:rFonts w:ascii="Palatino Linotype" w:hAnsi="Palatino Linotype"/>
          <w:color w:val="000000"/>
          <w:sz w:val="20"/>
          <w:szCs w:val="20"/>
          <w:lang w:val="sv-SE"/>
        </w:rPr>
        <w:t xml:space="preserve">. Pada kasus pediatrik, siklofosfamid intravena dengan dosis 500 mg/m² telah menunjukkan respons yang baik, dengan peningkatan jumlah hemoglobin dan trombosit yang dilaporkan pada anak-anak yang refrakter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{"citationItems":[{"id":"ITEM-1","itemData":{"DOI":"10.1016/j.htct.2022.01.011","ISSN":"25311387","abstract":"Introduction: The Evans syndrome (ES) is a rare, often chronic, relapsing and treatment-refractory hematological disorder. We described the clinical features, diagnostic workup, treatment and outcome in patients with ES. Method: We performed a retrospective chart review of patients aged &lt; 18 years with ES admitted to a tertiary center in Brazil from 2001 to 2021. The analysis of the data was primarily descriptive, using median, interquartile range and categorical variables presented in absolute frequencies. Main results: Twenty patients (12 female, 8 male) were evaluated in this study. The median age at the initial cytopenia was 4.98 years (1.30–12.57). The ES was secondary in nine cases (45%), of which six patients (30%) showed autoimmune disease (AID) or primary immunodeficiencies (PID) and one presented a spontaneous recovery. Steroids and intravenous immunoglobulin were first-line therapy in 19 cases. Twelve patients (63%) required second-line treatments (rituximab, cyclosporine, splenectomy, sirolimus, cyclophosphamide, mycophenolate mofetil, azathioprine and eltrombopag). The median follow-up period was 2.41 years (1.4 –7.52). One patient (5%) died of underlying neuroblastoma, one case (5%) was lost to follow-up and four patients (20%) received a medical discharge. The median age for the 14 remaining cases was 12.6 years. Twelve patients (85.7%) were in complete response (CR) with no therapies. Two patients (14.3%) were in CR with chronic therapy. Conclusion: As ES may be a symptom of AID and PID, a thorough rheumatological, immunologic and genetic workup and a careful follow-up are essential. The second-line treatment remains a dilemma. Further prospective studies are needed to address the optimal therapeutic combinations, morbidity and mortality in this disorder.","author":[{"dropping-particle":"","family":"Blanco","given":"Bruna Paccola","non-dropping-particle":"","parse-names":false,"suffix":""},{"dropping-particle":"","family":"Garanito","given":"Marlene Pereira","non-dropping-particle":"","parse-names":false,"suffix":""}],"container-title":"Hematology, Transfusion and Cell Therapy","id":"ITEM-1","issue":"2","issued":{"date-parts":[["2023"]]},"page":"196-203","publisher":"Elsevier Espana, S.L.","title":"Pediatric Evans Syndrome: A 20-year experience from a tertiary center in Brazil","type":"article-journal","volume":"45"},"uris":["http://www.mendeley.com/documents/?uuid=6f7d2307-621a-4e68-938d-5fd78ca321b0","http://www.mendeley.com/documents/?uuid=4ec25289-a07f-4196-9c4a-d0101885b565"]}],"mendeley":{"formattedCitation":"[11]","plainTextFormattedCitation":"[11]","previouslyFormattedCitation":"(11)"},"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[11]</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52F74696" w14:textId="77777777" w:rsidR="003F44B6" w:rsidRDefault="000D153F" w:rsidP="003F44B6">
      <w:pPr>
        <w:pStyle w:val="ListParagraph"/>
        <w:numPr>
          <w:ilvl w:val="0"/>
          <w:numId w:val="46"/>
        </w:num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t>Alkaloid Vinka</w:t>
      </w:r>
    </w:p>
    <w:p w14:paraId="167C1419" w14:textId="28E8138A" w:rsidR="003F44B6" w:rsidRDefault="003F44B6" w:rsidP="003F44B6">
      <w:pPr>
        <w:pStyle w:val="ListParagraph"/>
        <w:spacing w:after="0" w:line="240" w:lineRule="auto"/>
        <w:ind w:left="1134" w:firstLine="306"/>
        <w:jc w:val="both"/>
        <w:rPr>
          <w:rFonts w:ascii="Palatino Linotype" w:hAnsi="Palatino Linotype"/>
          <w:color w:val="000000"/>
          <w:sz w:val="20"/>
          <w:szCs w:val="20"/>
          <w:lang w:val="en-US"/>
        </w:rPr>
      </w:pPr>
      <w:r w:rsidRPr="003F44B6">
        <w:rPr>
          <w:rFonts w:ascii="Palatino Linotype" w:hAnsi="Palatino Linotype"/>
          <w:color w:val="000000"/>
          <w:sz w:val="20"/>
          <w:szCs w:val="20"/>
          <w:lang w:val="en-US"/>
        </w:rPr>
        <w:t>Alkaloid vinca telah digunakan sebagai bagian dari terapi kombinasi untuk sindrom Evans, yang melibatkan anemia hemolitik autoimun (AIHA) dan trombositopenia imun (ITP). Vinkristin sering dipertimbangkan ketika kortikosteroid dan imunoglobulin intravena (IVIG) gagal atau saat pasien mengalami kekambuhan, dan terkadang dikombinasikan dengan imunosupresan lain seperti siklosporin, mikofenolat mofetil, atau danazol. Infus mingguan alkaloid vinca, seperti vinblastin 10 mg atau vinkristin 1 mg/m², direkomendasikan sebagai bagian dari pengobatan purpura trombositopenik imun terisolasi, terutama pada pasien yang tidak merespons kortikosteroid dan IVIG. Sebuah studi prospektif pada 35 pasien menunjukkan bahwa kombinasi denyut metilprednisolon dosis tinggi dengan IVIG dan alkaloid vinca menghasilkan tingkat respons sebesar 71%. Mekanisme kerja alkaloid vinca seperti vinkristin dan vinblastin meliputi stimulasi trombositopoiesis serta penekanan imunitas humoral dan seluler. Penggunaan obat ini dapat meningkatkan jumlah trombosit dengan cepat namun sering bersifat sementara; sekitar setengah pasien ITP menunjukkan perbaikan. Tingkat respons bervariasi dan efek samping seperti neuropati (vinkristin) dan leukopenia (vinblastin) dapat terjadi, terutama dengan infus cepat, sementara infus lambat cenderung mengurangi efek samping tersebut</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{"citationItems":[{"id":"ITEM-1","itemData":{"DOI":"10.1182/blood-2007-01-065763","ISSN":"00064971","PMID":"17698634","abstract":"Patients with severe immune thrombocytopenic purpura (ITP) may require an acute increase in the platelet count for surgery or ongoing hemorrhage as well as long-term maintenance treatment. Certain of these patients may be refractory to steroids, intravenous anti-D, intravenous immunoglobulin (IVIG), and splenectomy. Therefore, acute platelet increases were studied in 35 patients completely unresponsive to IVIG or high-dose steroid treatment. Because of their lack of response to either or both single agents, these patients were administered a 3- or 4-drug combination including IVIG 1 g/kg, intravenous methylprednisolone 30 mg/kg, Vinca alkaloids (VCR 0.03 mg/kg), and/or intravenous anti-D (50-75 μg/kg). Subsequent maintenance therapy with the oral combination of danazol (10-15 mg/kg) and azathioprine (2 mg/kg) was given to 18 of the 35 patients. Seventy-one percent of the patients responded to the intravenous combination treatment with acute platelet increases of at least 20×109/L to a level greater than 30×109/L. Two thirds of the patients given maintenance therapy achieved stable platelet counts greater than 50×109/L without other treatments. One patient developed an ileus, but otherwise there was little toxicity of combination treatment. Combination chemotherapy is a useful approach for patients with ITP refractory to conventional treatments both for acute induction and for long-term maintenance therapy. © 2007 by The American Society of Hematology.","author":[{"dropping-particle":"","family":"Boruchov","given":"Donna M.","non-dropping-particle":"","parse-names":false,"suffix":""},{"dropping-particle":"","family":"Gururangan","given":"Sri","non-dropping-particle":"","parse-names":false,"suffix":""},{"dropping-particle":"","family":"Driscoll","given":"M. Catherine","non-dropping-particle":"","parse-names":false,"suffix":""},{"dropping-particle":"","family":"Bussel","given":"James B.","non-dropping-particle":"","parse-names":false,"suffix":""}],"container-title":"Blood","id":"ITEM-1","issue":"10","issued":{"date-parts":[["2007"]]},"page":"3526-3531","publisher":"American Society of Hematology","title":"Multiagent induction and maintenance therapy for patients with refractory immune thrombocytopenic purpura (ITP)","type":"article-journal","volume":"110"},"uris":["http://www.mendeley.com/documents/?uuid=04a17505-eb72-4dad-9f95-54a0f94f28de","http://www.mendeley.com/documents/?uuid=8b46334d-750c-4d6e-82ef-9642890968b6"]},{"id":"ITEM-2","itemData":{"DOI":"10.3390/jcm9123851","ISSN":"20770383","PMID":"33260979","abstract":"Evans’ syndrome (ES) is defined as the concomitant or sequential association of warm auto-immune haemolytic anaemia (AIHA) with immune thrombocytopenia (ITP), and less frequently autoimmune neutropenia. ES is a rare situation that represents up to 7% of AIHA and around 2% of ITP. When AIHA and ITP occurred concomitantly, the diagnosis procedure must rule out differential diagnoses such as thrombotic microangiopathies, anaemia due to bleedings complicating ITP, vitamin deficiencies, myelodysplastic syndromes, paroxysmal nocturnal haemoglobinuria, or specific conditions like HELLP when occurring during pregnancy. As for isolated auto-immune cytopenia (AIC), the determination of the primary or secondary nature of ES is important. Indeed, the association of ES with other diseases such as haematological malignancies, systemic lupus erythematosus, infections, or primary immune deficiencies can interfere with its management or alter its prognosis. Due to the rarity of the disease, the treatment of ES is mostly extrapolated from what is recommended for isolated AIC and mostly relies on corticosteroids, rituximab, splenectomy, and supportive therapies. The place for thrombopoietin receptor agonists, erythropoietin, immunosuppressants, haematopoietic cell transplantation, and thromboprophylaxis is also discussed in this review. Despite continuous progress in the management of AIC and a gradual increase in ES survival, the mortality due to ES remains higher than the ones of isolated AIC, supporting the need for an improvement in ES management.","author":[{"dropping-particle":"","family":"Audia","given":"Sylvain","non-dropping-particle":"","parse-names":false,"suffix":""},{"dropping-particle":"","family":"Grienay","given":"Natacha","non-dropping-particle":"","parse-names":false,"suffix":""},{"dropping-particle":"","family":"Mounier","given":"Morgane","non-dropping-particle":"","parse-names":false,"suffix":""},{"dropping-particle":"","family":"Michel","given":"Marc","non-dropping-particle":"","parse-names":false,"suffix":""},{"dropping-particle":"","family":"Bonnotte","given":"Bernard","non-dropping-particle":"","parse-names":false,"suffix":""}],"container-title":"Journal of Clinical Medicine","id":"ITEM-2","issue":"12","issued":{"date-parts":[["2020"]]},"page":"1-22","title":"Evans’ syndrome: From diagnosis to treatment","type":"article-journal","volume":"9"},"uris":["http://www.mendeley.com/documents/?uuid=99e78dbf-8a8f-430b-bddb-a451279d1d77","http://www.mendeley.com/documents/?uuid=f8d1607d-9bb7-46ae-a3a5-b5dfe5fe482b"]}],"mendeley":{"formattedCitation":"[2,42]","plainTextFormattedCitation":"[2,42]","previouslyFormattedCitation":"(2,42)"},"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[2,42]</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51219D47" w14:textId="7B50A8B2" w:rsidR="003F44B6" w:rsidRDefault="003F44B6" w:rsidP="003F44B6">
      <w:pPr>
        <w:pStyle w:val="ListParagraph"/>
        <w:spacing w:after="0" w:line="240" w:lineRule="auto"/>
        <w:ind w:left="1134" w:firstLine="306"/>
        <w:jc w:val="both"/>
        <w:rPr>
          <w:rFonts w:ascii="Palatino Linotype" w:hAnsi="Palatino Linotype"/>
          <w:color w:val="000000"/>
          <w:sz w:val="20"/>
          <w:szCs w:val="20"/>
          <w:lang w:val="en-US"/>
        </w:rPr>
      </w:pPr>
      <w:r w:rsidRPr="003F44B6">
        <w:rPr>
          <w:rFonts w:ascii="Palatino Linotype" w:hAnsi="Palatino Linotype"/>
          <w:color w:val="000000"/>
          <w:sz w:val="20"/>
          <w:szCs w:val="20"/>
          <w:lang w:val="en-US"/>
        </w:rPr>
        <w:t xml:space="preserve">Vinkristin (C46H56N4O10) adalah obat kemoterapi yang berasal dari tanaman tapak dara Madagaskar (Catharanthus roseus) dan telah digunakan sejak disetujui FDA pada tahun 1963. Obat ini merupakan anggota alkaloid Vinca, golongan alkaloid indol monoterpenoid dimerik yang juga mencakup vinblastin (C46H58N4O9), yang disetujui sebelumnya pada tahun 1961 dan digunakan untuk jenis kanker yang lebih terbatas. Secara kimia, vinkristin dan vinblastin sangat mirip, dengan perbedaan utama pada gugus formaldehida (-CH2O) pada bagian vindolin vinkristin, sedangkan vinblastin memiliki gugus metil (-CH3) pada posisi yang sama </w:t>
      </w:r>
      <w:r w:rsidRPr="003F44B6">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{"citationItems":[{"id":"ITEM-1","itemData":{"DOI":"10.1002/pbc.31247","ISSN":"15455017","abstract":"An attractive flower from the island of Madagascar has in part saved the lives of thousands of children with acute lymphoblastic leukemia (ALL). Random mutations and alterations to the genome led to the evolution of genes encoding enzymes, which would provide the periwinkle flower an arsenal of secondary metabolites to survive within the Madagascar ecosystem. Of the over 200 alkaloid compounds synthesized by the periwinkle, vincristine and vinblastine are the two most well-known being used for chemotherapy treatments, including for children with ALL. The complexities of the multi-step biosynthesis of vincristine and vinblastine, which has taken years to decode, highlight the importance of protecting the vast biodiversity on earth as other natural products that can save lives await to be discovered. This review addresses the discovery of vincristine and vinblastine, as well as the history of their existence, in nature.","author":[{"dropping-particle":"","family":"Taub","given":"Jeffrey W.","non-dropping-particle":"","parse-names":false,"suffix":""},{"dropping-particle":"","family":"Buck","given":"Steven A.","non-dropping-particle":"","parse-names":false,"suffix":""},{"dropping-particle":"","family":"Xavier","given":"Ana C.","non-dropping-particle":"","parse-names":false,"suffix":""},{"dropping-particle":"","family":"Edwards","given":"Holly","non-dropping-particle":"","parse-names":false,"suffix":""},{"dropping-particle":"","family":"Matherly","given":"Larry H.","non-dropping-particle":"","parse-names":false,"suffix":""},{"dropping-particle":"","family":"Ge","given":"Yubin","non-dropping-particle":"","parse-names":false,"suffix":""}],"container-title":"Pediatric Blood and Cancer","id":"ITEM-1","issue":"May","issued":{"date-parts":[["2024"]]},"page":"1-8","title":"The evolution and history of Vinca alkaloids: From the Big Bang to the treatment of pediatric acute leukemia","type":"article-journal"},"uris":["http://www.mendeley.com/documents/?uuid=b24be3d1-48d3-473b-9ce2-09505998d399","http://www.mendeley.com/documents/?uuid=32d28a35-1d08-4de8-ba5f-414210efb0b0"]}],"mendeley":{"formattedCitation":"[43]","plainTextFormattedCitation":"[43]","previouslyFormattedCitation":"(43)"},"properties":{"noteIndex":0},"schema":"https://github.com/citation-style-language/schema/raw/master/csl-citation.json"}</w:instrText>
      </w:r>
      <w:r w:rsidRPr="003F44B6">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[43]</w:t>
      </w:r>
      <w:r w:rsidRPr="003F44B6">
        <w:rPr>
          <w:rFonts w:ascii="Palatino Linotype" w:hAnsi="Palatino Linotype"/>
          <w:color w:val="000000"/>
          <w:sz w:val="20"/>
          <w:szCs w:val="20"/>
          <w:lang w:val="en-US"/>
        </w:rPr>
        <w:fldChar w:fldCharType="end"/>
      </w:r>
      <w:r w:rsidRPr="003F44B6">
        <w:rPr>
          <w:rFonts w:ascii="Palatino Linotype" w:hAnsi="Palatino Linotype"/>
          <w:color w:val="000000"/>
          <w:sz w:val="20"/>
          <w:szCs w:val="20"/>
          <w:lang w:val="en-US"/>
        </w:rPr>
        <w:t xml:space="preserve">. </w:t>
      </w:r>
    </w:p>
    <w:p w14:paraId="12761840" w14:textId="03AE9E82" w:rsidR="003F44B6" w:rsidRPr="000E3166" w:rsidRDefault="003F44B6" w:rsidP="003F44B6">
      <w:pPr>
        <w:pStyle w:val="ListParagraph"/>
        <w:spacing w:after="0" w:line="240" w:lineRule="auto"/>
        <w:ind w:left="1134" w:firstLine="306"/>
        <w:jc w:val="both"/>
        <w:rPr>
          <w:rFonts w:ascii="Palatino Linotype" w:hAnsi="Palatino Linotype"/>
          <w:color w:val="000000"/>
          <w:sz w:val="20"/>
          <w:szCs w:val="20"/>
          <w:lang w:val="sv-SE"/>
        </w:rPr>
      </w:pPr>
      <w:r w:rsidRPr="003F44B6">
        <w:rPr>
          <w:rFonts w:ascii="Palatino Linotype" w:hAnsi="Palatino Linotype"/>
          <w:color w:val="000000"/>
          <w:sz w:val="20"/>
          <w:szCs w:val="20"/>
          <w:lang w:val="en-US"/>
        </w:rPr>
        <w:t xml:space="preserve">Laporan kasus dari kohort 10 pasien yang diobati dengan infus trombosit mengandung vinkristin menunjukkan hasil yang menjanjikan. </w:t>
      </w:r>
      <w:r w:rsidRPr="000E3166">
        <w:rPr>
          <w:rFonts w:ascii="Palatino Linotype" w:hAnsi="Palatino Linotype"/>
          <w:color w:val="000000"/>
          <w:sz w:val="20"/>
          <w:szCs w:val="20"/>
          <w:lang w:val="sv-SE"/>
        </w:rPr>
        <w:t xml:space="preserve">Dari 10 pasien tersebut, empat mengalami ITP, tiga AIHA, dan tiga sindrom Evans. Dua pasien memiliki leukemia limfositik kronis (CLL), satu </w:t>
      </w:r>
      <w:r w:rsidRPr="000E3166">
        <w:rPr>
          <w:rFonts w:ascii="Palatino Linotype" w:hAnsi="Palatino Linotype"/>
          <w:color w:val="000000"/>
          <w:sz w:val="20"/>
          <w:szCs w:val="20"/>
          <w:lang w:val="sv-SE"/>
        </w:rPr>
        <w:lastRenderedPageBreak/>
        <w:t xml:space="preserve">pasien infeksi hepatitis C, dan sisanya tanpa penyakit penyerta yang dapat menyebabkan ITP atau AIHA. Kohort terdiri dari lima wanita dan lima pria dengan usia rata-rata 47 tahun (40–63). Pasien ITP mengalami perdarahan dengan jumlah trombosit rata-rata 14 × 10^9/L pada awal terapi, sedangkan pasien hemolisis mengalami anemia simptomatik yang memerlukan transfusi darah. Sebelum infus trombosit mengandung vinkristin, pasien telah menjalani rata-rata empat terapi berbeda, termasuk enam yang menerima alkaloid vinca dan sembilan yang menjalani splenektomi. Semua pasien merespons terapi, dengan enam mencapai remisi lengkap. Median tindak lanjut adalah 72 bulan. Dua pasien AIHA tetap dalam remisi selama 8 dan 9 tahun tanpa terapi pemeliharaan, sementara tiga pasien ITP menunjukkan respons parsial persisten selama 6 tahun, 5 tahun, dan 11 bulan. Respons cepat terjadi dalam 3–8 hari setelah infus, namun sering bersifat singkat (2–5 bulan). Beberapa pasien menerima infus kedua untuk memperpanjang respons. Terapi ini ditoleransi dengan baik tanpa efek samping yang dilaporkan. Mekanisme kerja melibatkan penargetan makrofag yang menghancurkan trombosit atau sel darah merah berantibodi dengan mengikat tubulin dalam trombosit, sehingga menginduksi disfungsi dan kematian makrofag. Pendekatan ini berharga karena keamanannya, biaya rendah, dan potensi respons tahan lama, terutama pada anemia hemolitik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{"citationItems":[{"id":"ITEM-1","itemData":{"DOI":"10.1002/ajh.20632","ISSN":"03618609","PMID":"16680744","abstract":"We report our experience with vincristine-loaded platelet infusion in patients with refractory immune thrombocytopenia (ITP), autoimmune hemolytic anemia (AIHA), and Evans syndrome. Ten patients with symptomatic thrombocytopenia and/or hemolytic anemia who failed to respond to two to six different treatment modalities, including corticosteroids and splenectomy, were treated with infusion of vincristine-loaded platelets. Platelets were harvested by plateletpheresis from a healthy ABO compatible blood donor and incubated with 5 mg vincristine. Excess of vincristine was removed, and platelets were resuspended in 50 ml plasma and infused over 30 min. All 10 patients responded, and 6 of them achieved complete remission. The response was prompt, occurring 3-8 days after vincristine-loaded platelet infusion. Two patients with AIHA are still in remission 9 and 8 years posttreatment with no maintenance treatment. Three ITP patients achieved persisted partial response for 6 years, 5 years, and 11 months; in the remaining 5 patients the response lasted for 2-5 months. No side effects were seen. Our results suggest that this inexpensive and well-tolerated treatment modality may be a useful approach in patients with ITP and AIHA refractory to primary therapy. © 2006 Wiley-Liss, Inc.","author":[{"dropping-particle":"","family":"Shvidel","given":"Lev","non-dropping-particle":"","parse-names":false,"suffix":""},{"dropping-particle":"","family":"Sigler","given":"Erica","non-dropping-particle":"","parse-names":false,"suffix":""},{"dropping-particle":"","family":"Shtalrid","given":"Mordechai","non-dropping-particle":"","parse-names":false,"suffix":""},{"dropping-particle":"","family":"Berrebi","given":"Alain","non-dropping-particle":"","parse-names":false,"suffix":""}],"container-title":"American Journal of Hematology","id":"ITEM-1","issue":"6","issued":{"date-parts":[["2006"]]},"page":"423-425","title":"Vincristine-loaded platelet infusion for treatment of refractory autoimmune hemolytic anemia and chronic immune thrombocytopenia: Rethinking old cures","type":"article-journal","volume":"81"},"uris":["http://www.mendeley.com/documents/?uuid=8b720cce-efde-4f48-b9ce-a4c9d58c3bd5","http://www.mendeley.com/documents/?uuid=b46b9329-e9f2-4ec5-8950-56063add0cce"]}],"mendeley":{"formattedCitation":"[44]","plainTextFormattedCitation":"[44]","previouslyFormattedCitation":"(44)"},"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[44]</w:t>
      </w:r>
      <w:r>
        <w:rPr>
          <w:rFonts w:ascii="Palatino Linotype" w:hAnsi="Palatino Linotype"/>
          <w:color w:val="000000"/>
          <w:sz w:val="20"/>
          <w:szCs w:val="20"/>
          <w:lang w:val="en-US"/>
        </w:rPr>
        <w:fldChar w:fldCharType="end"/>
      </w:r>
      <w:r w:rsidRPr="000E3166">
        <w:rPr>
          <w:rFonts w:ascii="Palatino Linotype" w:hAnsi="Palatino Linotype"/>
          <w:color w:val="000000"/>
          <w:sz w:val="20"/>
          <w:szCs w:val="20"/>
          <w:lang w:val="sv-SE"/>
        </w:rPr>
        <w:t xml:space="preserve">. </w:t>
      </w:r>
    </w:p>
    <w:p w14:paraId="15FE2EDE" w14:textId="230D05F2" w:rsidR="003F44B6" w:rsidRPr="000E3166" w:rsidRDefault="003F44B6" w:rsidP="003F44B6">
      <w:pPr>
        <w:pStyle w:val="ListParagraph"/>
        <w:spacing w:after="0" w:line="240" w:lineRule="auto"/>
        <w:ind w:left="1134" w:firstLine="306"/>
        <w:jc w:val="both"/>
        <w:rPr>
          <w:rFonts w:ascii="Palatino Linotype" w:hAnsi="Palatino Linotype"/>
          <w:color w:val="000000"/>
          <w:sz w:val="20"/>
          <w:szCs w:val="20"/>
          <w:lang w:val="sv-SE"/>
        </w:rPr>
      </w:pPr>
      <w:r w:rsidRPr="000E3166">
        <w:rPr>
          <w:rFonts w:ascii="Palatino Linotype" w:hAnsi="Palatino Linotype"/>
          <w:color w:val="000000"/>
          <w:sz w:val="20"/>
          <w:szCs w:val="20"/>
          <w:lang w:val="sv-SE"/>
        </w:rPr>
        <w:t>Oleh karena itu, pasien yang diobati dengan alkaloid vinca sering kali menunjukkan respons yang baik, termasuk mereka yang mengalami hemolisis berat atau trombositopenia. Beberapa pasien mungkin memerlukan perawatan berulang karena kambuhnya penyakit. Alkaloid vinca dianggap sebagai terapi lini kedua atau terapi tambahan, terutama bila pasien tidak menunjukkan respons yang memadai terhadap steroid atau IVIG. Agen imunosupresif lain seperti danazol, azatioprin, siklosporin, dan rituximab juga merupakan pilihan.</w:t>
      </w:r>
    </w:p>
    <w:p w14:paraId="643ABAA5" w14:textId="642BD090" w:rsidR="000D153F" w:rsidRDefault="000D153F" w:rsidP="000D153F">
      <w:pPr>
        <w:pStyle w:val="ListParagraph"/>
        <w:numPr>
          <w:ilvl w:val="0"/>
          <w:numId w:val="46"/>
        </w:num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t>Danazol</w:t>
      </w:r>
    </w:p>
    <w:p w14:paraId="207429E5" w14:textId="7BF69415" w:rsidR="003F44B6" w:rsidRDefault="003F44B6" w:rsidP="001A4579">
      <w:pPr>
        <w:pStyle w:val="ListParagraph"/>
        <w:spacing w:after="0" w:line="240" w:lineRule="auto"/>
        <w:ind w:left="993" w:firstLine="447"/>
        <w:jc w:val="both"/>
        <w:rPr>
          <w:rFonts w:ascii="Palatino Linotype" w:hAnsi="Palatino Linotype"/>
          <w:color w:val="000000"/>
          <w:sz w:val="20"/>
          <w:szCs w:val="20"/>
          <w:lang w:val="en-US"/>
        </w:rPr>
      </w:pPr>
      <w:r w:rsidRPr="003F44B6">
        <w:rPr>
          <w:rFonts w:ascii="Palatino Linotype" w:hAnsi="Palatino Linotype"/>
          <w:color w:val="000000"/>
          <w:sz w:val="20"/>
          <w:szCs w:val="20"/>
          <w:lang w:val="en-US"/>
        </w:rPr>
        <w:t>Danazol telah digunakan sebagai pilihan pengobatan pada sindrom Evans, terutama pada kasus yang refrakter terhadap terapi kortikosteroid. Obat ini merupakan androgen lemah dan steroid anabolik yang diberikan pada dosis tinggi, biasanya antara 400-800 mg per hari, dalam beberapa kasus anemia hemolitik autoimun (AIHA) dan trombositopenia imun (ITP). Danazol bekerja dengan mengubah membran eritrosit sehingga melawan lisis osmotik dan melindungi trombosit dari lisis yang dimediasi komplemen. Mekanisme lainnya meliputi penekanan sintesis autoantibodi dan pengubahan ekspresi reseptor Fc pada makrofag, sehingga mengurangi fagositosis sel darah yang dilapisi antibodi. Selain itu, danazol memiliki efek steroid-sparing yang memungkinkan pengurangan dosis kortikosteroid</w:t>
      </w:r>
      <w:r>
        <w:rPr>
          <w:rFonts w:ascii="Palatino Linotype" w:hAnsi="Palatino Linotype"/>
          <w:color w:val="000000"/>
          <w:sz w:val="20"/>
          <w:szCs w:val="20"/>
          <w:lang w:val="en-US"/>
        </w:rPr>
        <w:t xml:space="preserve">. </w:t>
      </w:r>
      <w:r w:rsidRPr="003F44B6">
        <w:rPr>
          <w:rFonts w:ascii="Palatino Linotype" w:hAnsi="Palatino Linotype"/>
          <w:color w:val="000000"/>
          <w:sz w:val="20"/>
          <w:szCs w:val="20"/>
          <w:lang w:val="en-US"/>
        </w:rPr>
        <w:t>Penggunaan danazol menunjukkan hasil yang baik dalam meningkatkan kadar hemoglobin dan jumlah trombosit, mengurangi ketergantungan transfusi, serta memperbaiki kualitas hidup pasien. Efek samping yang dilaporkan antara lain peningkatan enzim hati dan efek androgenik seperti jerawat dan hirsutisme. Oleh karena itu, penelitian terbaru meneliti penggunaan dosis awal dan dosis pemeliharaan yang lebih rendah untuk mengurangi efek samping sekaligus mempertahankan kemanjuran, terutama pada pasien yang tidak toleran atau refrakter terhadap terapi konvensional atau splenektomi</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{"citationItems":[{"id":"ITEM-1","itemData":{"DOI":"10.3390/ph15111377","ISSN":"14248247","abstract":"Danazol is a treatment option for autoimmune hemolytic anemia (AIHA) and immune thrombocytopenia (ITP). Three patients with AIHA and eight patients with ITP between 2008 and 2022 were enrolled in the Rheumatology Outpatient Clinic of Chang Gung Memorial Hospital, Kaohsiung. Those patients were refractory or intolerant to conventional therapy and were treated with danazol. All the patients received an initial dose of danazol (200–400 mg). The observation period was 6 months. Three patients (100%) with AIHA and six (75%) with ITP achieved treatment response after 6 months of danazol therapy. The dose of glucocorticoid for responders could be reduced to ≤5 mg/day of prednisolone, and the immunosuppressants, except hydroxychloroquine and azathioprine for systemic lupus erythematosus, could be discontinued. Adverse events were acne in two (18.2%) patients and transient dose-related liver function impairment in one (9.1%) patient in the current series. Danazol therapy appears to be a favorable alternative for refractory AIHA and ITP by altering the erythrocyte membrane to resist osmotic lysis and protecting platelets against complement-mediated lysis. In this report, we also performed a literature review and searched the PubMed/Cochrane Library for articles published from 1984 to January 2022 on danazol therapy for patients with AIHA and ITP.","author":[{"dropping-particle":"","family":"Huang","given":"Hsu En","non-dropping-particle":"","parse-names":false,"suffix":""},{"dropping-particle":"","family":"Lin","given":"Ko Ming","non-dropping-particle":"","parse-names":false,"suffix":""},{"dropping-particle":"","family":"Lin","given":"Jing Chi","non-dropping-particle":"","parse-names":false,"suffix":""},{"dropping-particle":"","family":"Lin","given":"Yu Ting","non-dropping-particle":"","parse-names":false,"suffix":""},{"dropping-particle":"","family":"He","given":"Hsiao Ru","non-dropping-particle":"","parse-names":false,"suffix":""},{"dropping-particle":"","family":"Wang","given":"Yu Wei","non-dropping-particle":"","parse-names":false,"suffix":""},{"dropping-particle":"","family":"Yu","given":"Shan Fu","non-dropping-particle":"","parse-names":false,"suffix":""},{"dropping-particle":"","family":"Chen","given":"Jia Feng","non-dropping-particle":"","parse-names":false,"suffix":""},{"dropping-particle":"","family":"Cheng","given":"Tien Tsai","non-dropping-particle":"","parse-names":false,"suffix":""}],"container-title":"Pharmaceuticals","id":"ITEM-1","issue":"11","issued":{"date-parts":[["2022"]]},"title":"Danazol in Refractory Autoimmune Hemolytic Anemia or Immune Thrombocytopenia: A Case Series Report and Literature Review","type":"article-journal","volume":"15"},"uris":["http://www.mendeley.com/documents/?uuid=89b81c65-7c34-4e99-85b3-54f738217e78","http://www.mendeley.com/documents/?uuid=96d31b43-5638-48a2-8e10-25e377b68767"]}],"mendeley":{"formattedCitation":"[45]","plainTextFormattedCitation":"[45]","previouslyFormattedCitation":"(45)"},"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[45]</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7EC68B07" w14:textId="7710C1B7" w:rsidR="001A4579" w:rsidRPr="001A4579" w:rsidRDefault="003F44B6" w:rsidP="001A4579">
      <w:pPr>
        <w:pStyle w:val="ListParagraph"/>
        <w:spacing w:after="0" w:line="240" w:lineRule="auto"/>
        <w:ind w:left="993" w:firstLine="447"/>
        <w:jc w:val="both"/>
        <w:rPr>
          <w:rFonts w:ascii="Palatino Linotype" w:hAnsi="Palatino Linotype"/>
          <w:color w:val="000000"/>
          <w:sz w:val="20"/>
          <w:szCs w:val="20"/>
          <w:lang w:val="en-US"/>
        </w:rPr>
      </w:pPr>
      <w:r w:rsidRPr="003F44B6">
        <w:rPr>
          <w:rFonts w:ascii="Palatino Linotype" w:hAnsi="Palatino Linotype"/>
          <w:color w:val="000000"/>
          <w:sz w:val="20"/>
          <w:szCs w:val="20"/>
          <w:lang w:val="en-US"/>
        </w:rPr>
        <w:t>Studi klinis menunjukkan bahwa danazol dengan dosis 200–400 mg per hari menghasilkan tingkat respons 100% pada pasien AIHA dan 75% pada pasien ITP setelah enam bulan terapi, memungkinkan pengurangan dosis glukokortikoid dan penghentian imunosupresan lainnya</w:t>
      </w:r>
      <w:r w:rsidR="001A4579">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{"citationItems":[{"id":"ITEM-1","itemData":{"DOI":"10.3390/ph15111377","ISSN":"14248247","abstract":"Danazol is a treatment option for autoimmune hemolytic anemia (AIHA) and immune thrombocytopenia (ITP). Three patients with AIHA and eight patients with ITP between 2008 and 2022 were enrolled in the Rheumatology Outpatient Clinic of Chang Gung Memorial Hospital, Kaohsiung. Those patients were refractory or intolerant to conventional therapy and were treated with danazol. All the patients received an initial dose of danazol (200–400 mg). The observation period was 6 months. Three patients (100%) with AIHA and six (75%) with ITP achieved treatment response after 6 months of danazol therapy. The dose of glucocorticoid for responders could be reduced to ≤5 mg/day of prednisolone, and the immunosuppressants, except hydroxychloroquine and azathioprine for systemic lupus erythematosus, could be discontinued. Adverse events were acne in two (18.2%) patients and transient dose-related liver function impairment in one (9.1%) patient in the current series. Danazol therapy appears to be a favorable alternative for refractory AIHA and ITP by altering the erythrocyte membrane to resist osmotic lysis and protecting platelets against complement-mediated lysis. In this report, we also performed a literature review and searched the PubMed/Cochrane Library for articles published from 1984 to January 2022 on danazol therapy for patients with AIHA and ITP.","author":[{"dropping-particle":"","family":"Huang","given":"Hsu En","non-dropping-particle":"","parse-names":false,"suffix":""},{"dropping-particle":"","family":"Lin","given":"Ko Ming","non-dropping-particle":"","parse-names":false,"suffix":""},{"dropping-particle":"","family":"Lin","given":"Jing Chi","non-dropping-particle":"","parse-names":false,"suffix":""},{"dropping-particle":"","family":"Lin","given":"Yu Ting","non-dropping-particle":"","parse-names":false,"suffix":""},{"dropping-particle":"","family":"He","given":"Hsiao Ru","non-dropping-particle":"","parse-names":false,"suffix":""},{"dropping-particle":"","family":"Wang","given":"Yu Wei","non-dropping-particle":"","parse-names":false,"suffix":""},{"dropping-particle":"","family":"Yu","given":"Shan Fu","non-dropping-particle":"","parse-names":false,"suffix":""},{"dropping-particle":"","family":"Chen","given":"Jia Feng","non-dropping-particle":"","parse-names":false,"suffix":""},{"dropping-particle":"","family":"Cheng","given":"Tien Tsai","non-dropping-particle":"","parse-names":false,"suffix":""}],"container-title":"Pharmaceuticals","id":"ITEM-1","issue":"11","issued":{"date-parts":[["2022"]]},"title":"Danazol in Refractory Autoimmune Hemolytic Anemia or Immune Thrombocytopenia: A Case Series Report and Literature Review","type":"article-journal","volume":"15"},"uris":["http://www.mendeley.com/documents/?uuid=96d31b43-5638-48a2-8e10-25e377b68767","http://www.mendeley.com/documents/?uuid=89b81c65-7c34-4e99-85b3-54f738217e78"]},{"id":"ITEM-2","itemData":{"DOI":"10.1016/j.hoc.2021.12.004","ISSN":"15581977","PMID":"35282950","author":[{"dropping-particle":"","family":"Michel","given":"Marc","non-dropping-particle":"","parse-names":false,"suffix":""}],"container-title":"Hematology/Oncology Clinics of North America","id":"ITEM-2","issue":"2","issued":{"date-parts":[["2022"]]},"page":"381-392","publisher":"Elsevier Inc.","title":"Adult Evans' Syndrome","type":"article-journal","volume":"36"},"uris":["http://www.mendeley.com/documents/?uuid=8e44b75e-01a5-452e-9eca-30e9a184b3df","http://www.mendeley.com/documents/?uuid=eadc2344-ac31-4a54-91e9-599c97aac1b0","http://www.mendeley.com/documents/?uuid=2f789d8e-72a2-45e6-afb8-6dd64e4db9d9"]}],"mendeley":{"formattedCitation":"[3,45]","plainTextFormattedCitation":"[3,45]","previouslyFormattedCitation":"(3,45)"},"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[3,45]</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r w:rsidR="001A4579" w:rsidRPr="001A4579">
        <w:rPr>
          <w:rFonts w:ascii="Palatino Linotype" w:hAnsi="Palatino Linotype"/>
          <w:color w:val="000000"/>
          <w:sz w:val="20"/>
          <w:szCs w:val="20"/>
          <w:lang w:val="en-US"/>
        </w:rPr>
        <w:t xml:space="preserve">Sebuah studi retrospektif besar terhadap 319 pasien melaporkan tingkat respons keseluruhan 65%, dengan terapi kombinasi danazol dan glukokortikoid dikaitkan dengan tingkat kekambuhan yang lebih rendah dibandingkan dengan glukokortikoid saja. Pengobatan biasanya memerlukan pemberian jangka panjang, sering kali setidaknya 6 bulan hingga satu tahun, untuk mengamati respons klinis, dan terapi jangka panjang dapat menyebabkan remisi yang berlangsung bertahun-tahun bahkan setelah penghentian. Danazol juga dapat memperbaiki gejala perdarahan terlepas dari peningkatan jumlah trombosit, mungkin dengan meningkatkan integritas dinding pembuluh darah. Dosis yang dianjurkan sering kali dimulai pada 400-600 mg/hari selama setidaknya 6 bulan, kemudian dikurangi ke dosis pemeliharaan yang lebih rendah, dengan beberapa pasien merespons serendah 50 mg/hari. Obat ini dianggap sebagai alternatif terapi untuk splenektomi, terutama pada pasien yang lebih tua atau mereka yang memiliki kontraindikasi terhadap pembedahan atau kortikosteroid </w:t>
      </w:r>
      <w:r w:rsidR="001A4579">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{"citationItems":[{"id":"ITEM-1","itemData":{"DOI":"10.1016/S1571-5078(07)00224-3","ISBN":"9780444531728","ISSN":"15715078","author":[{"dropping-particle":"","family":"Gonzalez-Gay","given":"Miguel A.","non-dropping-particle":"","parse-names":false,"suffix":""},{"dropping-particle":"","family":"Blanco","given":"Ricardo","non-dropping-particle":"","parse-names":false,"suffix":""}],"container-title":"Handbook of Systemic Autoimmune Diseases","id":"ITEM-1","issue":"07","issued":{"date-parts":[["2008"]]},"page":"265-271","title":"Chapter 24 Danazol Therapy","type":"article-journal","volume":"9"},"uris":["http://www.mendeley.com/documents/?uuid=12184f41-7321-44ed-b345-614c769c97eb","http://www.mendeley.com/documents/?uuid=50ddadf6-22d3-45ad-a8f8-ca96ec2dac43"]}],"mendeley":{"formattedCitation":"[46]","plainTextFormattedCitation":"[46]","previouslyFormattedCitation":"(46)"},"properties":{"noteIndex":0},"schema":"https://github.com/citation-style-language/schema/raw/master/csl-citation.json"}</w:instrText>
      </w:r>
      <w:r w:rsidR="001A4579">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[46]</w:t>
      </w:r>
      <w:r w:rsidR="001A4579">
        <w:rPr>
          <w:rFonts w:ascii="Palatino Linotype" w:hAnsi="Palatino Linotype"/>
          <w:color w:val="000000"/>
          <w:sz w:val="20"/>
          <w:szCs w:val="20"/>
          <w:lang w:val="en-US"/>
        </w:rPr>
        <w:fldChar w:fldCharType="end"/>
      </w:r>
      <w:r w:rsidR="001A4579">
        <w:rPr>
          <w:rFonts w:ascii="Palatino Linotype" w:hAnsi="Palatino Linotype"/>
          <w:color w:val="000000"/>
          <w:sz w:val="20"/>
          <w:szCs w:val="20"/>
          <w:lang w:val="en-US"/>
        </w:rPr>
        <w:t xml:space="preserve">. </w:t>
      </w:r>
    </w:p>
    <w:p w14:paraId="42E49B13" w14:textId="6A776FF1" w:rsidR="000D153F" w:rsidRDefault="000D153F" w:rsidP="000D153F">
      <w:pPr>
        <w:pStyle w:val="ListParagraph"/>
        <w:numPr>
          <w:ilvl w:val="0"/>
          <w:numId w:val="46"/>
        </w:num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lastRenderedPageBreak/>
        <w:t>Fos</w:t>
      </w:r>
      <w:r w:rsidR="001A4579">
        <w:rPr>
          <w:rFonts w:ascii="Palatino Linotype" w:hAnsi="Palatino Linotype"/>
          <w:b/>
          <w:bCs/>
          <w:color w:val="000000"/>
          <w:sz w:val="20"/>
          <w:szCs w:val="20"/>
          <w:lang w:val="en-US"/>
        </w:rPr>
        <w:t>t</w:t>
      </w:r>
      <w:r>
        <w:rPr>
          <w:rFonts w:ascii="Palatino Linotype" w:hAnsi="Palatino Linotype"/>
          <w:b/>
          <w:bCs/>
          <w:color w:val="000000"/>
          <w:sz w:val="20"/>
          <w:szCs w:val="20"/>
          <w:lang w:val="en-US"/>
        </w:rPr>
        <w:t xml:space="preserve">amatinib </w:t>
      </w:r>
    </w:p>
    <w:p w14:paraId="39F3AB9D" w14:textId="103334F1" w:rsidR="00D84282" w:rsidRDefault="00D84282" w:rsidP="00D84282">
      <w:pPr>
        <w:pStyle w:val="ListParagraph"/>
        <w:spacing w:after="0" w:line="240" w:lineRule="auto"/>
        <w:ind w:left="993" w:firstLine="447"/>
        <w:rPr>
          <w:rFonts w:ascii="Palatino Linotype" w:hAnsi="Palatino Linotype"/>
          <w:color w:val="000000"/>
          <w:sz w:val="20"/>
          <w:szCs w:val="20"/>
          <w:lang w:val="en-US"/>
        </w:rPr>
      </w:pPr>
      <w:r w:rsidRPr="00D84282">
        <w:rPr>
          <w:rFonts w:ascii="Palatino Linotype" w:hAnsi="Palatino Linotype"/>
          <w:color w:val="000000"/>
          <w:sz w:val="20"/>
          <w:szCs w:val="20"/>
          <w:lang w:val="en-US"/>
        </w:rPr>
        <w:t>Fostamatinib direkomendasikan sebagai pilihan pengobatan untuk sindrom Evans, khususnya sebagai terapi lini ketiga atau lini lanjutan, serta sebagai pengobatan lini kedua bagi pasien dengan riwayat kejadian trombotik terkait sindrom tersebut. Obat ini merupakan inhibitor tirosin kinase limpa (SYK) yang bekerja dengan menghambat penghancuran sel darah merah dan trombosit yang dimediasi oleh makrofag, mekanisme utama dalam sitopenia autoimun seperti sindrom Evans dan anemia hemolitik autoimun hangat (wAIHA), kondisi yang sering tumpang tindih. Fostamatinib disodium hexahydrat adalah inhibitor SYK yang diberikan secara oral dan telah disetujui FDA sejak 2018 untuk pengobatan trombositopenia imun kronis (ITP). Obat ini memiliki efek pleiotropik yang menawarkan opsi terapi baru dengan menargetkan mekanisme dasar penyakit.</w:t>
      </w:r>
      <w:r>
        <w:rPr>
          <w:rFonts w:ascii="Palatino Linotype" w:hAnsi="Palatino Linotype"/>
          <w:color w:val="000000"/>
          <w:sz w:val="20"/>
          <w:szCs w:val="20"/>
          <w:lang w:val="en-US"/>
        </w:rPr>
        <w:t xml:space="preserve"> </w:t>
      </w:r>
      <w:r w:rsidRPr="00D84282">
        <w:rPr>
          <w:rFonts w:ascii="Palatino Linotype" w:hAnsi="Palatino Linotype"/>
          <w:color w:val="000000"/>
          <w:sz w:val="20"/>
          <w:szCs w:val="20"/>
          <w:lang w:val="en-US"/>
        </w:rPr>
        <w:t>Obat ini memiliki efek pleiotropik yang menawarkan opsi terapi baru yang bertujuan menghambat mekanisme dasar penyakit. Metabolit utama fostamatinib, yaitu R406, terbukti melindungi terhadap perkembangan anemia pada model tikus dengan anemia hemolitik autoimun (AIHA)</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{"citationItems":[{"id":"ITEM-1","itemData":{"DOI":"10.1182/blood-2008-07-166439","ISSN":"15280020","PMID":"19096013","abstract":"To determine whether inhibition of Syk would be useful in FcγR-dependent cytopenias such as immune thrombocytopenic purpura (ITP) or autoimmune hemolytic anemia, mouse models were used to evaluate efficacy of R406, an inhibitor of Syk function, in treating cytopenia. Both disease models responded favorably to treatment, with amelioration of ITP being more dramatic. Thus, phase 2 clinical trial was initiated to study the effects of Syk inhibition in humans with ITP. Sixteen adults with chronic ITP were entered into an open-label, single-arm cohort dose-escalation trial beginning with 75 mg and escalating as high as 175 mg twice daily. Doses were increased until a persistent response was seen, toxicity occurred, or 175 mg twice daily was reached. Eight patients achieved persistent responses with platelet counts greater than 50 x 109/L(50 000 mm3) on more than 67% (actually 95%) of their study visits, including 3 who had not persistently responded to thrombopoietic agents. Four others had nonsustained responses. Mean peak platelet count exceeded 100 x 109/L (100 000 mm3) in these 12 patients. Toxicity was primarily GI-related with diarrhea (urgency) and vomiting; 2 patients had transaminitis. In conclusion, inhibition of Syk was an efficacious means of increasing and maintaining the platelet count in half the patients with chronic refractory ITP. © 2009 by The American Society of Hematology.","author":[{"dropping-particle":"","family":"Podolanczuk","given":"Anna","non-dropping-particle":"","parse-names":false,"suffix":""},{"dropping-particle":"","family":"Lazarus","given":"Alan H.","non-dropping-particle":"","parse-names":false,"suffix":""},{"dropping-particle":"","family":"Crow","given":"Andrew R.","non-dropping-particle":"","parse-names":false,"suffix":""},{"dropping-particle":"","family":"Grossbard","given":"Elliot","non-dropping-particle":"","parse-names":false,"suffix":""},{"dropping-particle":"","family":"Bussel","given":"James B.","non-dropping-particle":"","parse-names":false,"suffix":""}],"container-title":"Blood","id":"ITEM-1","issue":"14","issued":{"date-parts":[["2009"]]},"page":"3154-3160","title":"Of mice and men: An open-label pilot study for treatment of immune thrombocytopenic purpura by an inhibitor of Syk","type":"article-journal","volume":"113"},"uris":["http://www.mendeley.com/documents/?uuid=64cc50a4-c886-4d7a-b0b9-9edd259c8698","http://www.mendeley.com/documents/?uuid=4414b01d-d4e5-4a55-adb0-6bd62f360896"]}],"mendeley":{"formattedCitation":"[47]","plainTextFormattedCitation":"[47]","previouslyFormattedCitation":"(47)"},"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[47]</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29646948" w14:textId="26A58C15" w:rsidR="00D84282" w:rsidRDefault="00D84282" w:rsidP="00D84282">
      <w:pPr>
        <w:pStyle w:val="ListParagraph"/>
        <w:spacing w:after="0" w:line="240" w:lineRule="auto"/>
        <w:ind w:left="993" w:firstLine="447"/>
        <w:rPr>
          <w:rFonts w:ascii="Palatino Linotype" w:hAnsi="Palatino Linotype"/>
          <w:color w:val="000000"/>
          <w:sz w:val="20"/>
          <w:szCs w:val="20"/>
          <w:lang w:val="en-US"/>
        </w:rPr>
      </w:pPr>
      <w:r w:rsidRPr="00D84282">
        <w:rPr>
          <w:rFonts w:ascii="Palatino Linotype" w:hAnsi="Palatino Linotype"/>
          <w:color w:val="000000"/>
          <w:sz w:val="20"/>
          <w:szCs w:val="20"/>
          <w:lang w:val="en-US"/>
        </w:rPr>
        <w:t>Dalam penelitian fase 2 tersebut, fostamatinib menunjukkan efektivitas dalam meningkatkan kadar hemoglobin pada pasien dengan wAIHA, dengan profil keamanan yang konsisten berdasarkan data dari lebih dari 4.800 pasien yang menggunakan obat ini untuk berbagai kondisi penyakit. Sebuah studi fase 2 multisenter, berlabel terbuka mengevaluasi fostamatinib pada dosis 150 mg dua kali sehari pada orang dewasa dengan warm antibody autoimmune hemolytic anemia (wAIHA) dan hemolisis aktif. Studi ini menunjukkan bahwa 46% pasien yang menerima fostamatinib mencapai titik akhir utama pada minggu ke-24, yaitu kadar hemoglobin (Hgb) lebih dari 10 g/dL dengan peningkatan minimal 2 g/dL dari nilai awal tanpa terapi penyelamatan atau transfusi darah, dengan efek samping yang dapat dikendalikan dan sesuai dengan profil keamanan fostamatinib yang telah dikenal pada pengobatan trombositopenia imun kronis (ITP)</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{"citationItems":[{"id":"ITEM-1","itemData":{"DOI":"10.1002/ajh.26508","ISSN":"10968652","PMID":"35179251","abstract":"Patients with relapsed warm antibody autoimmune hemolytic anemia (wAIHA) have limited treatment options. Fostamatinib is a potent, orally administered spleen tyrosine kinase inhibitor approved in the United States and Europe for the treatment of adults with chronic immune thrombocytopenia (ITP). This phase 2 study evaluated the response to fostamatinib, administered at 150 mg BID orally with or without food in adults with wAIHA and active hemolysis with hemoglobin (Hgb) &lt;10 g/dL who had failed at least one prior treatment. Hemoglobin levels and safety assessments were performed at visits every 2 weeks. The primary endpoint was Hgb &gt;10 g/dL with an increase of ≥2 g/dL from baseline by week 24 without rescue therapy or red blood cell transfusion. Eleven of 24 (46%) patients achieved the primary endpoint. Increases in median Hgb were detected at week 2 and sustained over time. Median lactate dehydrogenase levels and reticulocyte counts generally declined over time with little change in median haptoglobin levels. The most common adverse events (AEs) were diarrhea (42%), fatigue (42%), hypertension (27%), dizziness (27%), and insomnia (23%). AEs were manageable and consistent with the fostamatinib safety database of over 3900 patients across multiple diseases (rheumatoid arthritis, B-cell lymphoma, COVID-19, and ITP). No new safety signals were detected. Fostamatinib may be a promising therapeutic option for wAIHA. A randomized, double-blind, phase 3 study is nearing completion.","author":[{"dropping-particle":"","family":"Kuter","given":"David J.","non-dropping-particle":"","parse-names":false,"suffix":""},{"dropping-particle":"","family":"Rogers","given":"Kerry A.","non-dropping-particle":"","parse-names":false,"suffix":""},{"dropping-particle":"","family":"Boxer","given":"Michael A.","non-dropping-particle":"","parse-names":false,"suffix":""},{"dropping-particle":"","family":"Choi","given":"Michael","non-dropping-particle":"","parse-names":false,"suffix":""},{"dropping-particle":"","family":"Agajanian","given":"Richy","non-dropping-particle":"","parse-names":false,"suffix":""},{"dropping-particle":"","family":"Arnold","given":"Donald M.","non-dropping-particle":"","parse-names":false,"suffix":""},{"dropping-particle":"","family":"Broome","given":"Catherine M.","non-dropping-particle":"","parse-names":false,"suffix":""},{"dropping-particle":"","family":"Field","given":"Joshua J.","non-dropping-particle":"","parse-names":false,"suffix":""},{"dropping-particle":"","family":"Murakhovskaya","given":"Irina","non-dropping-particle":"","parse-names":false,"suffix":""},{"dropping-particle":"","family":"Numerof","given":"Robert","non-dropping-particle":"","parse-names":false,"suffix":""},{"dropping-particle":"","family":"Tong","given":"Sandra","non-dropping-particle":"","parse-names":false,"suffix":""}],"container-title":"American Journal of Hematology","id":"ITEM-1","issue":"6","issued":{"date-parts":[["2022"]]},"page":"691-699","title":"Fostamatinib for the treatment of warm antibody autoimmune hemolytic anemia: Phase 2, multicenter, open-label study","type":"article-journal","volume":"97"},"uris":["http://www.mendeley.com/documents/?uuid=d7feab01-a4e6-4cb2-b7f3-1ed701444d89","http://www.mendeley.com/documents/?uuid=79fb29c6-b9df-4354-ba58-7080ca6bbe6b"]},{"id":"ITEM-2","itemData":{"DOI":"10.1182/blood-2008-07-166439","ISSN":"15280020","PMID":"19096013","abstract":"To determine whether inhibition of Syk would be useful in FcγR-dependent cytopenias such as immune thrombocytopenic purpura (ITP) or autoimmune hemolytic anemia, mouse models were used to evaluate efficacy of R406, an inhibitor of Syk function, in treating cytopenia. Both disease models responded favorably to treatment, with amelioration of ITP being more dramatic. Thus, phase 2 clinical trial was initiated to study the effects of Syk inhibition in humans with ITP. Sixteen adults with chronic ITP were entered into an open-label, single-arm cohort dose-escalation trial beginning with 75 mg and escalating as high as 175 mg twice daily. Doses were increased until a persistent response was seen, toxicity occurred, or 175 mg twice daily was reached. Eight patients achieved persistent responses with platelet counts greater than 50 x 109/L(50 000 mm3) on more than 67% (actually 95%) of their study visits, including 3 who had not persistently responded to thrombopoietic agents. Four others had nonsustained responses. Mean peak platelet count exceeded 100 x 109/L (100 000 mm3) in these 12 patients. Toxicity was primarily GI-related with diarrhea (urgency) and vomiting; 2 patients had transaminitis. In conclusion, inhibition of Syk was an efficacious means of increasing and maintaining the platelet count in half the patients with chronic refractory ITP. © 2009 by The American Society of Hematology.","author":[{"dropping-particle":"","family":"Podolanczuk","given":"Anna","non-dropping-particle":"","parse-names":false,"suffix":""},{"dropping-particle":"","family":"Lazarus","given":"Alan H.","non-dropping-particle":"","parse-names":false,"suffix":""},{"dropping-particle":"","family":"Crow","given":"Andrew R.","non-dropping-particle":"","parse-names":false,"suffix":""},{"dropping-particle":"","family":"Grossbard","given":"Elliot","non-dropping-particle":"","parse-names":false,"suffix":""},{"dropping-particle":"","family":"Bussel","given":"James B.","non-dropping-particle":"","parse-names":false,"suffix":""}],"container-title":"Blood","id":"ITEM-2","issue":"14","issued":{"date-parts":[["2009"]]},"page":"3154-3160","title":"Of mice and men: An open-label pilot study for treatment of immune thrombocytopenic purpura by an inhibitor of Syk","type":"article-journal","volume":"113"},"uris":["http://www.mendeley.com/documents/?uuid=4414b01d-d4e5-4a55-adb0-6bd62f360896","http://www.mendeley.com/documents/?uuid=64cc50a4-c886-4d7a-b0b9-9edd259c8698"]}],"mendeley":{"formattedCitation":"[47,48]","plainTextFormattedCitation":"[47,48]","previouslyFormattedCitation":"(47,48)"},"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[47,48]</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3BEC4AEF" w14:textId="677C2044" w:rsidR="00D84282" w:rsidRDefault="00D84282" w:rsidP="00D84282">
      <w:pPr>
        <w:pStyle w:val="ListParagraph"/>
        <w:spacing w:after="0" w:line="240" w:lineRule="auto"/>
        <w:ind w:left="993" w:firstLine="447"/>
        <w:rPr>
          <w:rFonts w:ascii="Palatino Linotype" w:hAnsi="Palatino Linotype"/>
          <w:color w:val="000000"/>
          <w:sz w:val="20"/>
          <w:szCs w:val="20"/>
          <w:lang w:val="en-US"/>
        </w:rPr>
      </w:pPr>
      <w:r w:rsidRPr="00D84282">
        <w:rPr>
          <w:rFonts w:ascii="Palatino Linotype" w:hAnsi="Palatino Linotype"/>
          <w:color w:val="000000"/>
          <w:sz w:val="20"/>
          <w:szCs w:val="20"/>
          <w:lang w:val="en-US"/>
        </w:rPr>
        <w:t>Studi klinis menunjukkan bahwa fostamatinib mampu menghasilkan respons hemoglobin yang tahan lama pada proporsi signifikan pasien dengan warm antibody autoimmune hemolytic anemia (wAIHA) dan sindrom Evans, dengan tingkat respons berkisar antara 35% hingga 64%, tergantung pada studi dan populasi pasien. Selain itu, fostamatinib dapat mengurangi penggunaan steroid dan menurunkan kebutuhan transfusi darah. Profil keamanannya mencakup efek samping umum seperti diare, hipertensi, dan kelelahan, yang umumnya dapat ditangani dengan baik.Studi FORWARD, sebuah uji klinis fase 3 global, acak, double-blind, dan terkontrol plasebo, mengevaluasi efektivitas fostamatinib pada pasien wAIHA yang tidak merespons cukup baik terhadap minimal satu pengobatan sebelumnya. Dalam studi ini, 90 pasien dibagi secara seimbang antara kelompok fostamatinib dan plasebo. Titik akhir utama adalah respons hemoglobin tahan lama, didefinisikan sebagai hemoglobin ≥10 g/dL dengan peningkatan ≥2 g/dL dari baseline selama tiga kunjungan berturut-turut dalam 24 minggu.Secara keseluruhan, 35,6% pasien yang menerima fostamatinib mencapai respons hemoglobin tahan lama, dibandingkan 26,7% pada kelompok plasebo, meskipun perbedaan ini tidak signifikan secara statistik (p = 0,398). Namun, analisis regional pasca studi menunjukkan manfaat signifikan pada pasien dari Amerika Utara, Australia, dan Eropa Barat, dengan 36% pasien pada fostamatinib mencapai respons tahan lama dibandingkan 10,7% pada plasebo (p = 0,030). Setelah penyesuaian terhadap faktor pembaur seperti penggunaan steroid penyelamat dan pengecualian beberapa pasien plasebo yang kemungkinan salah diagnosis, perbedaan respons hemoglobin tahan lama menjadi signifikan (33,3% vs. 14,0%, p = 0,0395).</w:t>
      </w:r>
      <w:r>
        <w:rPr>
          <w:rFonts w:ascii="Palatino Linotype" w:hAnsi="Palatino Linotype"/>
          <w:color w:val="000000"/>
          <w:sz w:val="20"/>
          <w:szCs w:val="20"/>
          <w:lang w:val="en-US"/>
        </w:rPr>
        <w:t xml:space="preserve"> </w:t>
      </w:r>
      <w:r w:rsidRPr="00D84282">
        <w:rPr>
          <w:rFonts w:ascii="Palatino Linotype" w:hAnsi="Palatino Linotype"/>
          <w:color w:val="000000"/>
          <w:sz w:val="20"/>
          <w:szCs w:val="20"/>
          <w:lang w:val="en-US"/>
        </w:rPr>
        <w:t>Efek samping umum yang dilaporkan pada pasien yang menerima fostamatinib meliputi diare (26,7%), hipertensi (24,4%), dan kelelahan (15,6%), tanpa adanya sinyal keamanan baru yang ditemukan. Studi ini juga mengungkapkan respons plasebo yang besar pada pasien dari Eropa Timur, yang memengaruhi hasil keseluruhan</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{"citationItems":[{"id":"ITEM-1","itemData":{"DOI":"10.1002/ajh.26508","ISSN":"10968652","PMID":"35179251","abstract":"Patients with relapsed warm antibody autoimmune hemolytic anemia (wAIHA) have limited treatment options. Fostamatinib is a potent, orally administered spleen tyrosine kinase inhibitor approved in the United States and Europe for the treatment of adults with chronic immune thrombocytopenia (ITP). This phase 2 study evaluated the response to fostamatinib, administered at 150 mg BID orally with or without food in adults with wAIHA and active hemolysis with hemoglobin (Hgb) &lt;10 g/dL who had failed at least one prior treatment. Hemoglobin levels and safety assessments were performed at visits every 2 weeks. The primary endpoint was Hgb &gt;10 g/dL with an increase of ≥2 g/dL from baseline by week 24 without rescue therapy or red blood cell transfusion. Eleven of 24 (46%) patients achieved the primary endpoint. Increases in median Hgb were detected at week 2 and sustained over time. Median lactate dehydrogenase levels and reticulocyte counts generally declined over time with little change in median haptoglobin levels. The most common adverse events (AEs) were diarrhea (42%), fatigue (42%), hypertension (27%), dizziness (27%), and insomnia (23%). AEs were manageable and consistent with the fostamatinib safety database of over 3900 patients across multiple diseases (rheumatoid arthritis, B-cell lymphoma, COVID-19, and ITP). No new safety signals were detected. Fostamatinib may be a promising therapeutic option for wAIHA. A randomized, double-blind, phase 3 study is nearing completion.","author":[{"dropping-particle":"","family":"Kuter","given":"David J.","non-dropping-particle":"","parse-names":false,"suffix":""},{"dropping-particle":"","family":"Rogers","given":"Kerry A.","non-dropping-particle":"","parse-names":false,"suffix":""},{"dropping-particle":"","family":"Boxer","given":"Michael A.","non-dropping-particle":"","parse-names":false,"suffix":""},{"dropping-particle":"","family":"Choi","given":"Michael","non-dropping-particle":"","parse-names":false,"suffix":""},{"dropping-particle":"","family":"Agajanian","given":"Richy","non-dropping-particle":"","parse-names":false,"suffix":""},{"dropping-particle":"","family":"Arnold","given":"Donald M.","non-dropping-particle":"","parse-names":false,"suffix":""},{"dropping-particle":"","family":"Broome","given":"Catherine M.","non-dropping-particle":"","parse-names":false,"suffix":""},{"dropping-particle":"","family":"Field","given":"Joshua J.","non-dropping-particle":"","parse-names":false,"suffix":""},{"dropping-particle":"","family":"Murakhovskaya","given":"Irina","non-dropping-particle":"","parse-names":false,"suffix":""},{"dropping-particle":"","family":"Numerof","given":"Robert","non-dropping-particle":"","parse-names":false,"suffix":""},{"dropping-particle":"","family":"Tong","given":"Sandra","non-dropping-particle":"","parse-names":false,"suffix":""}],"container-title":"American Journal of Hematology","id":"ITEM-1","issue":"6","issued":{"date-parts":[["2022"]]},"page":"691-699","title":"Fostamatinib for the treatment of warm antibody autoimmune hemolytic anemia: Phase 2, multicenter, open-label study","type":"article-journal","volume":"97"},"uris":["http://www.mendeley.com/documents/?uuid=79fb29c6-b9df-4354-ba58-7080ca6bbe6b","http://www.mendeley.com/documents/?uuid=d7feab01-a4e6-4cb2-b7f3-1ed701444d89"]}],"mendeley":{"formattedCitation":"[48]","plainTextFormattedCitation":"[48]","previouslyFormattedCitation":"(48)"},"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[48]</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5E4808A4" w14:textId="3DE049A2" w:rsidR="0089385E" w:rsidRPr="00D84282" w:rsidRDefault="0089385E" w:rsidP="00D84282">
      <w:pPr>
        <w:pStyle w:val="ListParagraph"/>
        <w:spacing w:after="0" w:line="240" w:lineRule="auto"/>
        <w:ind w:left="993" w:firstLine="447"/>
        <w:rPr>
          <w:rFonts w:ascii="Palatino Linotype" w:hAnsi="Palatino Linotype"/>
          <w:color w:val="000000"/>
          <w:sz w:val="20"/>
          <w:szCs w:val="20"/>
          <w:lang w:val="en-US"/>
        </w:rPr>
      </w:pPr>
      <w:r w:rsidRPr="0089385E">
        <w:rPr>
          <w:rFonts w:ascii="Palatino Linotype" w:hAnsi="Palatino Linotype"/>
          <w:color w:val="000000"/>
          <w:sz w:val="20"/>
          <w:szCs w:val="20"/>
          <w:lang w:val="en-US"/>
        </w:rPr>
        <w:t xml:space="preserve">Studi klinis juga menunjukkan bahwa fostamatinib dapat mengurangi penggunaan steroid dan kebutuhan transfusi darah pada pasien dengan wAIHA dan sindrom Evans. Studi retrospektif multisentra di AS melaporkan tingkat respons keseluruhan 64% dan respons tahan lama 46% pada 6 bulan, dengan 73% pasien berhasil mengurangi dosis steroid. Analisis molekuler mengidentifikasi perbedaan ekspresi gen dan mutasi terkait imun yang membedakan </w:t>
      </w:r>
      <w:r w:rsidRPr="0089385E">
        <w:rPr>
          <w:rFonts w:ascii="Palatino Linotype" w:hAnsi="Palatino Linotype"/>
          <w:color w:val="000000"/>
          <w:sz w:val="20"/>
          <w:szCs w:val="20"/>
          <w:lang w:val="en-US"/>
        </w:rPr>
        <w:lastRenderedPageBreak/>
        <w:t>responden dari non-responden, termasuk jalur TCR, NF-kB, JAK-STAT, serta kadar faktor penghambat migrasi makrofag (MIF) yang lebih tinggi pada responden, yang berpotensi menjadi biomarker prediktif respons terapi</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{"citationItems":[{"id":"ITEM-1","itemData":{"DOI":"10.1182/blood-2024-194041","ISSN":"0006-4971","author":[{"dropping-particle":"","family":"Lopez","given":"Jorge N Ruiz","non-dropping-particle":"","parse-names":false,"suffix":""},{"dropping-particle":"","family":"Shao","given":"Lipei","non-dropping-particle":"","parse-names":false,"suffix":""},{"dropping-particle":"","family":"JiangS","given":"Debbie","non-dropping-particle":"","parse-names":false,"suffix":""},{"dropping-particle":"","family":"Bikkani","given":"Lawrence Baileyhejaswi","non-dropping-particle":"","parse-names":false,"suffix":""},{"dropping-particle":"","family":"CMoore","given":"Donald","non-dropping-particle":"","parse-names":false,"suffix":""}],"container-title":"BLOOD","id":"ITEM-1","issue":"November","issued":{"date-parts":[["2024"]]},"page":"670-671","publisher":"American Society of Hematology. Published by Elsevier Inc. All rights reserved.","title":"Efficacy, Safety and Molecular Response Predictors of Fostamatinib in Warm Autoimmune Hemolytic Anemia (wAIHA) and/or Evans Syndrome (ES): A Multicenter Analysis Jorge","type":"article-journal","volume":"144"},"uris":["http://www.mendeley.com/documents/?uuid=088ec8f8-4144-4e1b-a59e-5e3d64a536ae","http://www.mendeley.com/documents/?uuid=32c65e5a-bc96-499d-96c7-357c5e79e3d7"]}],"mendeley":{"formattedCitation":"[49]","plainTextFormattedCitation":"[49]","previouslyFormattedCitation":"(49)"},"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[49]</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r w:rsidRPr="0089385E">
        <w:rPr>
          <w:rFonts w:ascii="Palatino Linotype" w:hAnsi="Palatino Linotype"/>
          <w:color w:val="000000"/>
          <w:sz w:val="20"/>
          <w:szCs w:val="20"/>
          <w:lang w:val="en-US"/>
        </w:rPr>
        <w:t>Dengan demikian, fostamatinib merupakan pilihan terapi efektif dan relatif aman untuk wAIHA dan sindrom Evans, dengan manfaat tambahan berupa pengurangan kebutuhan steroid dan transfusi darah, serta profil efek samping yang dapat dikelola dengan baik.</w:t>
      </w:r>
    </w:p>
    <w:p w14:paraId="4441CF20" w14:textId="11C1BE64" w:rsidR="0089385E" w:rsidRDefault="0089385E" w:rsidP="0089385E">
      <w:pPr>
        <w:pStyle w:val="ListParagraph"/>
        <w:numPr>
          <w:ilvl w:val="0"/>
          <w:numId w:val="44"/>
        </w:num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t xml:space="preserve">Lini Ketiga </w:t>
      </w:r>
    </w:p>
    <w:p w14:paraId="06B12C68" w14:textId="77777777" w:rsidR="00BE469C" w:rsidRDefault="00BE469C" w:rsidP="00BE469C">
      <w:pPr>
        <w:pStyle w:val="ListParagraph"/>
        <w:numPr>
          <w:ilvl w:val="0"/>
          <w:numId w:val="47"/>
        </w:num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t>Agonis Reseptor Trombopoietin</w:t>
      </w:r>
    </w:p>
    <w:p w14:paraId="6E00008E" w14:textId="5CFF1E57" w:rsidR="00BE469C" w:rsidRDefault="00BE469C" w:rsidP="00BE469C">
      <w:pPr>
        <w:pStyle w:val="ListParagraph"/>
        <w:spacing w:after="0" w:line="240" w:lineRule="auto"/>
        <w:ind w:left="284" w:firstLine="436"/>
        <w:rPr>
          <w:rFonts w:ascii="Palatino Linotype" w:hAnsi="Palatino Linotype"/>
          <w:color w:val="000000"/>
          <w:sz w:val="20"/>
          <w:szCs w:val="20"/>
          <w:lang w:val="en-US"/>
        </w:rPr>
      </w:pPr>
      <w:r w:rsidRPr="00BE469C">
        <w:rPr>
          <w:rFonts w:ascii="Palatino Linotype" w:hAnsi="Palatino Linotype"/>
          <w:color w:val="000000"/>
          <w:sz w:val="20"/>
          <w:szCs w:val="20"/>
          <w:lang w:val="en-US"/>
        </w:rPr>
        <w:t>Dalam pengelolaan Immune Thrombocytopenic Purpura (ITP) kronis atau refrakter yang tidak merespons imunomodulasi sistemik, penggunaan thrombopoietin receptor agonists (TPO-RA) seperti eltrombopag dan romiplostim menjadi pilihan terapi yang efektif. Kedua agen ini telah terbukti memberikan respons yang baik dengan tingkat respons sekitar 80%, serta mampu mengurangi kejadian perdarahan dan meningkatkan kualitas hidup pasien. Agonis reseptor trombopoietin generasi kedua tersebut merangsang trombopoiesis, meningkatkan proliferasi dan pematangan sel megakariosit, sehingga efektif dalam mengatasi trombositopenia pada ITP</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{"citationItems":[{"id":"ITEM-1","itemData":{"DOI":"10.1007/978-3-319-73269-5_2","ISBN":"9783319732695","author":[{"dropping-particle":"","family":"Kim","given":"Taylor Olmsted","non-dropping-particle":"","parse-names":false,"suffix":""}],"container-title":"Immune Hematology: Diagnosis and Management of Autoimmune Cytopenias","id":"ITEM-1","issued":{"date-parts":[["2018"]]},"number-of-pages":"17-33","title":"Pathophysiology of immune thrombocytopenia","type":"book"},"uris":["http://www.mendeley.com/documents/?uuid=5db4ecde-991f-4771-bb35-a9e8f49b8059","http://www.mendeley.com/documents/?uuid=68b419a8-9e7a-4117-8229-4777d43fda56"]}],"mendeley":{"formattedCitation":"[13]","plainTextFormattedCitation":"[13]","previouslyFormattedCitation":"(13)"},"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[13]</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r w:rsidRPr="00BE469C">
        <w:rPr>
          <w:rFonts w:ascii="Palatino Linotype" w:hAnsi="Palatino Linotype"/>
          <w:color w:val="000000"/>
          <w:sz w:val="20"/>
          <w:szCs w:val="20"/>
          <w:lang w:val="en-US"/>
        </w:rPr>
        <w:t>Pada pasien dengan sindrom Evans (ES) yang refrakter terhadap terapi steroid, splenektomi, IVIG, dan rituximab, kombinasi romiplostim atau eltrombopag dengan steroid menunjukkan durasi remisi yang signifikan, misalnya remisi selama 40 hari pada tindak lanjut terakhir, yang mengindikasikan efektivitas pendekatan terapi bertarget ganda ini. Laporan kasus juga menunjukkan pasien refrakter terhadap rituximab yang menerima romiplostim dengan dosis 1–2 µg/kg/minggu selama 4 dosis dan setelah splenektomi mengalami remisi selama 153 hari sejak pemberian romiplostim pertama</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10.1111/bjh.15070","ISSN":"13652141","PMID":"29270980","author":[{"dropping-particle":"","family":"Gómez-Almaguer","given":"David","non-dropping-particle":"","parse-names":false,"suffix":""},{"dropping-particle":"","family":"Colunga-Pedraza","given":"Perla R.","non-dropping-particle":"","parse-names":false,"suffix":""},{"dropping-particle":"","family":"Gómez-De León","given":"Andrés","non-dropping-particle":"","parse-names":false,"suffix":""},{"dropping-particle":"","family":"Gutiérrez-Aguirre","given":"César H.","non-dropping-particle":"","parse-names":false,"suffix":""},{"dropping-particle":"","family":"Cantú-Rodríguez","given":"Olga G.","non-dropping-particle":"","parse-names":false,"suffix":""},{"dropping-particle":"","family":"Jaime-Pérez","given":"José C.","non-dropping-particle":"","parse-names":false,"suffix":""}],"container-title":"British Journal of Haematology","id":"ITEM-1","issue":"2","issued":{"date-parts":[["2019"]]},"page":"288-290","title":"Eltrombopag, low-dose rituximab, and dexamethasone combination as frontline treatment of newly diagnosed immune thrombocytopaenia","type":"article-journal","volume":"184"},"uris":["http://www.mendeley.com/documents/?uuid=88ce8498-7394-4d8a-9394-8e587dc7bc62","http://www.mendeley.com/documents/?uuid=169a0839-b389-4397-b58f-287a35038607"]}],"mendeley":{"formattedCitation":"[50]","plainTextFormattedCitation":"[50]","previouslyFormattedCitation":"(50)"},"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[50]</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r w:rsidRPr="00BE469C">
        <w:rPr>
          <w:rFonts w:ascii="Palatino Linotype" w:hAnsi="Palatino Linotype"/>
          <w:color w:val="000000"/>
          <w:sz w:val="20"/>
          <w:szCs w:val="20"/>
          <w:lang w:val="en-US"/>
        </w:rPr>
        <w:t>Namun, terapi TPO-RA harus dipantau secara ketat karena potensi kejadian buruk seperti trombosis (pada kedua agen), transaminitis dan risiko pembentukan katarak (khususnya dengan eltrombopag), serta kemungkinan perkembangan antibodi penetral terhadap romiplostim. Pada kasus ES dengan trombositopenia berat yang refrakter terhadap berbagai terapi lini pertama, eltrombopag juga menjadi pilihan lini kedua yang efektif, dengan tingkat kemanjuran sekitar 82</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10.1111/bjh.15070","ISSN":"13652141","PMID":"29270980","author":[{"dropping-particle":"","family":"Gómez-Almaguer","given":"David","non-dropping-particle":"","parse-names":false,"suffix":""},{"dropping-particle":"","family":"Colunga-Pedraza","given":"Perla R.","non-dropping-particle":"","parse-names":false,"suffix":""},{"dropping-particle":"","family":"Gómez-De León","given":"Andrés","non-dropping-particle":"","parse-names":false,"suffix":""},{"dropping-particle":"","family":"Gutiérrez-Aguirre","given":"César H.","non-dropping-particle":"","parse-names":false,"suffix":""},{"dropping-particle":"","family":"Cantú-Rodríguez","given":"Olga G.","non-dropping-particle":"","parse-names":false,"suffix":""},{"dropping-particle":"","family":"Jaime-Pérez","given":"José C.","non-dropping-particle":"","parse-names":false,"suffix":""}],"container-title":"British Journal of Haematology","id":"ITEM-1","issue":"2","issued":{"date-parts":[["2019"]]},"page":"288-290","title":"Eltrombopag, low-dose rituximab, and dexamethasone combination as frontline treatment of newly diagnosed immune thrombocytopaenia","type":"article-journal","volume":"184"},"uris":["http://www.mendeley.com/documents/?uuid=169a0839-b389-4397-b58f-287a35038607","http://www.mendeley.com/documents/?uuid=88ce8498-7394-4d8a-9394-8e587dc7bc62"]},{"id":"ITEM-2","itemData":{"DOI":"10.1016/j.htct.2022.01.011","ISSN":"25311387","abstract":"Introduction: The Evans syndrome (ES) is a rare, often chronic, relapsing and treatment-refractory hematological disorder. We described the clinical features, diagnostic workup, treatment and outcome in patients with ES. Method: We performed a retrospective chart review of patients aged &lt; 18 years with ES admitted to a tertiary center in Brazil from 2001 to 2021. The analysis of the data was primarily descriptive, using median, interquartile range and categorical variables presented in absolute frequencies. Main results: Twenty patients (12 female, 8 male) were evaluated in this study. The median age at the initial cytopenia was 4.98 years (1.30–12.57). The ES was secondary in nine cases (45%), of which six patients (30%) showed autoimmune disease (AID) or primary immunodeficiencies (PID) and one presented a spontaneous recovery. Steroids and intravenous immunoglobulin were first-line therapy in 19 cases. Twelve patients (63%) required second-line treatments (rituximab, cyclosporine, splenectomy, sirolimus, cyclophosphamide, mycophenolate mofetil, azathioprine and eltrombopag). The median follow-up period was 2.41 years (1.4 –7.52). One patient (5%) died of underlying neuroblastoma, one case (5%) was lost to follow-up and four patients (20%) received a medical discharge. The median age for the 14 remaining cases was 12.6 years. Twelve patients (85.7%) were in complete response (CR) with no therapies. Two patients (14.3%) were in CR with chronic therapy. Conclusion: As ES may be a symptom of AID and PID, a thorough rheumatological, immunologic and genetic workup and a careful follow-up are essential. The second-line treatment remains a dilemma. Further prospective studies are needed to address the optimal therapeutic combinations, morbidity and mortality in this disorder.","author":[{"dropping-particle":"","family":"Blanco","given":"Bruna Paccola","non-dropping-particle":"","parse-names":false,"suffix":""},{"dropping-particle":"","family":"Garanito","given":"Marlene Pereira","non-dropping-particle":"","parse-names":false,"suffix":""}],"container-title":"Hematology, Transfusion and Cell Therapy","id":"ITEM-2","issue":"2","issued":{"date-parts":[["2023"]]},"page":"196-203","publisher":"Elsevier Espana, S.L.","title":"Pediatric Evans Syndrome: A 20-year experience from a tertiary center in Brazil","type":"article-journal","volume":"45"},"uris":["http://www.mendeley.com/documents/?uuid=6f7d2307-621a-4e68-938d-5fd78ca321b0","http://www.mendeley.com/documents/?uuid=4ec25289-a07f-4196-9c4a-d0101885b565","http://www.mendeley.com/documents/?uuid=0a8b677f-b8e6-420d-9e5b-6fcbf7cadacc"]}],"mendeley":{"formattedCitation":"[11,50]","plainTextFormattedCitation":"[11,50]","previouslyFormattedCitation":"(11,50)"},"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[11,50]</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27B0EB67" w14:textId="3EB6967D" w:rsidR="00BE469C" w:rsidRDefault="00BE469C" w:rsidP="00BE469C">
      <w:pPr>
        <w:pStyle w:val="ListParagraph"/>
        <w:spacing w:after="0" w:line="240" w:lineRule="auto"/>
        <w:ind w:left="284" w:firstLine="436"/>
        <w:rPr>
          <w:rFonts w:ascii="Palatino Linotype" w:hAnsi="Palatino Linotype"/>
          <w:color w:val="000000"/>
          <w:sz w:val="20"/>
          <w:szCs w:val="20"/>
          <w:lang w:val="en-US"/>
        </w:rPr>
      </w:pPr>
      <w:r w:rsidRPr="00BE469C">
        <w:rPr>
          <w:rFonts w:ascii="Palatino Linotype" w:hAnsi="Palatino Linotype"/>
          <w:color w:val="000000"/>
          <w:sz w:val="20"/>
          <w:szCs w:val="20"/>
          <w:lang w:val="en-US"/>
        </w:rPr>
        <w:t>Studi retrospektif multisenter internasional pada 29 pasien dewasa dengan sindrom Evans yang telah menjalani berbagai pengobatan berat menunjukkan bahwa TPO-RA sangat efektif dengan tingkat respons lebih dari 80% dalam periode hingga 12 bulan. Peralihan antar TPO-RA dapat dilakukan dan terkadang efektif pada kasus nonrespon atau kekambuhan, dengan tingkat respons mencapai 72% pada bulan pertama dan 100% pada bulan ke-12. Namun, penggunaan TPO-RA pada ES dikaitkan dengan risiko kejadian buruk trombotik yang signifikan, terjadi pada sekitar sepertiga pasien, dengan berbagai jenis trombosis seperti trombosis vena dalam, vena serebral, splanknik, dan infark miokard. Risiko ini lebih tinggi dibandingkan pada ITP primer dan dapat diperburuk oleh kondisi mendasar seperti sindrom antifosfolipid (APS) atau hemolisis aktif. Oleh karena itu, pemantauan ketat terhadap risiko trombositosis, fluktuasi trombosit, dan trombosis sangat diperlukan</w:t>
      </w:r>
      <w:r>
        <w:rPr>
          <w:rFonts w:ascii="Palatino Linotype" w:hAnsi="Palatino Linotype"/>
          <w:color w:val="000000"/>
          <w:sz w:val="20"/>
          <w:szCs w:val="20"/>
          <w:lang w:val="en-US"/>
        </w:rPr>
        <w:t xml:space="preserve">. </w:t>
      </w:r>
      <w:r w:rsidRPr="00BE469C">
        <w:rPr>
          <w:rFonts w:ascii="Palatino Linotype" w:hAnsi="Palatino Linotype"/>
          <w:color w:val="000000"/>
          <w:sz w:val="20"/>
          <w:szCs w:val="20"/>
          <w:lang w:val="en-US"/>
        </w:rPr>
        <w:t>Dosis TPO-RA berdasarkan pengalaman multisenter adalah rata-rata maksimal 75 mg/hari untuk eltrombopag (kisaran 50-150 mg/hari) dan 3 μg/kg/minggu untuk romiplostim (kisaran 2-10 μg/kg/minggu</w:t>
      </w:r>
      <w:r>
        <w:rPr>
          <w:rFonts w:ascii="Palatino Linotype" w:hAnsi="Palatino Linotype"/>
          <w:color w:val="000000"/>
          <w:sz w:val="20"/>
          <w:szCs w:val="20"/>
          <w:lang w:val="en-US"/>
        </w:rPr>
        <w:t xml:space="preserve">). </w:t>
      </w:r>
      <w:r w:rsidRPr="00BE469C">
        <w:rPr>
          <w:rFonts w:ascii="Palatino Linotype" w:hAnsi="Palatino Linotype"/>
          <w:color w:val="000000"/>
          <w:sz w:val="20"/>
          <w:szCs w:val="20"/>
          <w:lang w:val="en-US"/>
        </w:rPr>
        <w:t>Temuan ini menegaskan bahwa TPO-RA merupakan pilihan pengobatan yang relevan dan efektif, terutama pada trombositopenia imun yang aktif setelah penggunaan kortikosteroid dan rituximab, dengan catatan pemantauan cermat terhadap risiko trombosis, khususnya pada pasien dengan lupus eritematosus sistemik (SLE) atau APS</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{"citationItems":[{"id":"ITEM-1","itemData":{"DOI":"10.1182/bloodadvances.2021005610","ISSN":"24739537","PMID":"34592758","abstract":"Evans syndrome (ES) is a rare condition, defined as the presence of 2 autoimmune cytopenias, most frequently autoimmune hemolytic anemia and immune thrombocytopenia (ITP) and rarely autoimmune neutropenia. ES can be classified as primary or secondary to various conditions, including lymphoproliferative disorders, other systemic autoimmune diseases, and primary immunodeficiencies, particularly in children. In adult ES, little is known about clinical features, disease associations, and outcomes. In this retrospective international study, we analyzed 116 adult patients followed at 13 European tertiary centers, focusing on treatment requirements, occurrence of complications, and death. ES was secondary to or associated with underlying conditions in 24 cases (21%), mainly other autoimmune diseases and hematologic neoplasms. Bleeding occurred in 42% of patients, mainly low grade and at ITP onset. Almost all patients received first-line treatment (steroids with or without intravenous immunoglobulin), and 23% needed early additional therapy for primary refractoriness. Additional therapy lines included rituximab, splenectomy, immunosuppressants, thrombopoietin receptor agonists, and others, with response rates .80%. However, a remarkable number of relapses occurred, requiring $3 therapy lines in 54% of cases. Infections and thrombotic complications occurred in 33% and 21% of patients, respectively, mainly grade $3, and correlated with the number of therapy lines. In addition to age, other factors negatively affecting survival were severe anemia at onset and occurrence of relapse, infection, and thrombosis. These data show that adult ES is often severe and marked by a relapsing clinical course and potentially fatal complications, pinpointing the need for high clinical awareness, prompt therapy, and anti-infectious/anti-thrombotic prophylaxis.","author":[{"dropping-particle":"","family":"Fattizzo","given":"Bruno","non-dropping-particle":"","parse-names":false,"suffix":""},{"dropping-particle":"","family":"Michel","given":"Marc","non-dropping-particle":"","parse-names":false,"suffix":""},{"dropping-particle":"","family":"Giannotta","given":"Juri Alessandro","non-dropping-particle":"","parse-names":false,"suffix":""},{"dropping-particle":"","family":"Hansen","given":"Dennis Lund","non-dropping-particle":"","parse-names":false,"suffix":""},{"dropping-particle":"","family":"Arguello","given":"Maria","non-dropping-particle":"","parse-names":false,"suffix":""},{"dropping-particle":"","family":"Sutto","given":"Emanuele","non-dropping-particle":"","parse-names":false,"suffix":""},{"dropping-particle":"","family":"Bianchetti","given":"Nicola","non-dropping-particle":"","parse-names":false,"suffix":""},{"dropping-particle":"","family":"Patriarca","given":"Andrea","non-dropping-particle":"","parse-names":false,"suffix":""},{"dropping-particle":"","family":"Cantoni","given":"Silvia","non-dropping-particle":"","parse-names":false,"suffix":""},{"dropping-particle":"","family":"Mingot-Castellano","given":"Marıa Eva","non-dropping-particle":"","parse-names":false,"suffix":""},{"dropping-particle":"","family":"McDonald","given":"Vickie","non-dropping-particle":"","parse-names":false,"suffix":""},{"dropping-particle":"","family":"Capecchi","given":"Marco","non-dropping-particle":"","parse-names":false,"suffix":""},{"dropping-particle":"","family":"Zaninoni","given":"Anna","non-dropping-particle":"","parse-names":false,"suffix":""},{"dropping-particle":"","family":"Consonni","given":"Dario","non-dropping-particle":"","parse-names":false,"suffix":""},{"dropping-particle":"","family":"Vos","given":"Josephine Mathilde","non-dropping-particle":"","parse-names":false,"suffix":""},{"dropping-particle":"","family":"Vianelli","given":"Nicola","non-dropping-particle":"","parse-names":false,"suffix":""},{"dropping-particle":"","family":"Chen","given":"Frederick","non-dropping-particle":"","parse-names":false,"suffix":""},{"dropping-particle":"","family":"Glenthøj","given":"Andreas","non-dropping-particle":"","parse-names":false,"suffix":""},{"dropping-particle":"","family":"Frederiksen","given":"Henrik","non-dropping-particle":"","parse-names":false,"suffix":""},{"dropping-particle":"","family":"Gonzalez-Lopez","given":"Tomas Jose","non-dropping-particle":"","parse-names":false,"suffix":""},{"dropping-particle":"","family":"Barcellini","given":"Wilma","non-dropping-particle":"","parse-names":false,"suffix":""}],"container-title":"Blood Advances","id":"ITEM-1","issue":"24","issued":{"date-parts":[["2021"]]},"page":"5468-5478","title":"Evans syndrome in adults: an observational multicenter study","type":"article-journal","volume":"5"},"uris":["http://www.mendeley.com/documents/?uuid=0e52c6fe-07f9-461e-94b4-fc23299afae4","http://www.mendeley.com/documents/?uuid=3d5cb8b8-cb7b-478e-ac69-1b3ffdea266b"]}],"mendeley":{"formattedCitation":"[8]","plainTextFormattedCitation":"[8]","previouslyFormattedCitation":"(8)"},"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[8]</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6D38C419" w14:textId="29B45CB5" w:rsidR="00BE469C" w:rsidRPr="00BE469C" w:rsidRDefault="00BE469C" w:rsidP="00BE469C">
      <w:pPr>
        <w:pStyle w:val="ListParagraph"/>
        <w:spacing w:after="0" w:line="240" w:lineRule="auto"/>
        <w:ind w:left="284" w:firstLine="436"/>
        <w:rPr>
          <w:rFonts w:ascii="Palatino Linotype" w:hAnsi="Palatino Linotype"/>
          <w:color w:val="000000"/>
          <w:sz w:val="20"/>
          <w:szCs w:val="20"/>
          <w:lang w:val="en-US"/>
        </w:rPr>
      </w:pPr>
      <w:r w:rsidRPr="00BE469C">
        <w:rPr>
          <w:rFonts w:ascii="Palatino Linotype" w:hAnsi="Palatino Linotype"/>
          <w:color w:val="000000"/>
          <w:sz w:val="20"/>
          <w:szCs w:val="20"/>
          <w:lang w:val="en-US"/>
        </w:rPr>
        <w:t xml:space="preserve">Sebuah laporan kasus terbaru menggambarkan seorang pria Tionghoa berusia 21 tahun dengan mutasi heterozigot majemuk pada gen NBAS yang mengalami anemia hemolitik autoimun (AIHA) dan trombositopenia selama pengobatan AIHA, memenuhi kriteria sindrom Evans. Pasien ini sejak kanak-kanak menunjukkan gejala multisistem seperti pertumbuhan terhambat, hipogamaglobulinemia, limfopenia B, atrofi optik, nistagmus, serta splenomegali dan hepatomegali ringan, meskipun kadar hemoglobin dan trombosit normal. Saat dewasa, AIHA diobati dengan kortikosteroid dan IVIG yang menormalkan kadar hemoglobin, namun trombositopenia berat muncul selama terapi dan membaik setelah penambahan avatrombopag (agonis trombopoietin) serta peningkatan dosis steroid. Saat ini, pasien dipertahankan dengan terapi mingguan avatrombopag dan dosis steroid rendah. Analisis genetik mengidentifikasi varian heterozigot pada gen NBAS yang kemungkinan berkontribusi pada disregulasi imun pasien, memperluas spektrum klinis mutasi NBAS dan menegaskan bahwa sindrom Evans dapat </w:t>
      </w:r>
      <w:r w:rsidRPr="00BE469C">
        <w:rPr>
          <w:rFonts w:ascii="Palatino Linotype" w:hAnsi="Palatino Linotype"/>
          <w:color w:val="000000"/>
          <w:sz w:val="20"/>
          <w:szCs w:val="20"/>
          <w:lang w:val="en-US"/>
        </w:rPr>
        <w:lastRenderedPageBreak/>
        <w:t>berkembang pada pasien dengan mutasi ini. Kasus ini juga menegaskan efektivitas kortikosteroid, IVIG, dan agonis trombopoietin seperti avatrombopag dalam mengelola AIHA dan trombositopenia pada konteks mutasi NBAS, meskipun penggunaan avatrombopag untuk sindrom Evans masih bersifat off-label dan memerlukan pemantauan keta</w:t>
      </w:r>
      <w:r>
        <w:rPr>
          <w:rFonts w:ascii="Palatino Linotype" w:hAnsi="Palatino Linotype"/>
          <w:color w:val="000000"/>
          <w:sz w:val="20"/>
          <w:szCs w:val="20"/>
          <w:lang w:val="en-US"/>
        </w:rPr>
        <w:t xml:space="preserve">t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{"citationItems":[{"id":"ITEM-1","itemData":{"DOI":"10.1097/MD.0000000000036975","ISBN":"0000000000","ISSN":"15365964","PMID":"38517998","abstract":"Rationale: Neuroblastoma amplified sequence (NBAS)-associated disease is an autosomal recessive disorder and a broad spectrum of clinical symptoms has been reported. However, autoimmune mediated hemolytic anemia (AIHA) is rarely reported in NBAS disease. Patient concerns: A now 21-year-old male harbors heterozygous variants of c.6840G&gt;A and c.335 + 1G&gt;A and was found had retarded growth, hypogammaglobulinemia, B lymphopenia, optic atrophy, horizontal nystagmus, slight splenomegaly and hepatomegaly since childhood. This case had normal hemoglobin level and platelet count in his childhood. He developed AIHA first in his adulthood and then thrombocytopenia during the treatment of AIHA. The mechanism underlying a case with pronounced hypogammaglobulinemia and B lymphopenia is elusive. In addition to biallelic NBAS mutations, a germline mutation in the ANKRD26 (c.2356C&gt;T) gene was also detected. So either autoimmune or ANKRD26 mutation-mediated thrombocytopenia is possible in this case. Intervention and outcome: He was initially managed with steroid and intermittent intravenous immunoglobulin supplement. After treatment, he responded well with a normalization of hemoglobin and serum bilirubin. But the patient subsequently experienced severe thrombocytopenia in addition to AIHA. He was then given daily avatrombopag in addition to steroid escalation. He responded again to new treatment, with the hemoglobin levels and platelet counts went back to the normal ranges. Now he was on de-escalated weekly avatrombopag and low-dose steroids maintenance. Conclusion: The phenotype of this case indicates that c.335 + 1G&gt;A NBAS variant is probably a pathogenic one and c.2356C&gt;T ANKRD26 variant is improbably a pathogenic one. AIHA may respond well to steroid even when happened in patients with NBAS disease.","author":[{"dropping-particle":"","family":"Yang","given":"Yuanlin","non-dropping-particle":"","parse-names":false,"suffix":""},{"dropping-particle":"","family":"Fei","given":"Xiaoming","non-dropping-particle":"","parse-names":false,"suffix":""},{"dropping-particle":"","family":"Lei","given":"Fang","non-dropping-particle":"","parse-names":false,"suffix":""},{"dropping-particle":"","family":"Wang","given":"Lixia","non-dropping-particle":"","parse-names":false,"suffix":""},{"dropping-particle":"","family":"Yu","given":"Xianqiu","non-dropping-particle":"","parse-names":false,"suffix":""},{"dropping-particle":"","family":"Tang","given":"Yu","non-dropping-particle":"","parse-names":false,"suffix":""}],"container-title":"Medicine (United States)","id":"ITEM-1","issue":"12","issued":{"date-parts":[["2024"]]},"page":"E36975","title":"Autoimmune hemolytic anemia and thrombocytopenia in a Chinese patient with heterozygous NBAS mutations: Case report","type":"article-journal","volume":"103"},"uris":["http://www.mendeley.com/documents/?uuid=ecfb0a3c-17aa-40e7-957d-e16974de13be","http://www.mendeley.com/documents/?uuid=15890cbc-be40-4ca0-8a7d-069124c97bbb"]}],"mendeley":{"formattedCitation":"[51]","plainTextFormattedCitation":"[51]","previouslyFormattedCitation":"(51)"},"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[51]</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4EEE4B93" w14:textId="77777777" w:rsidR="00BE469C" w:rsidRPr="00BE469C" w:rsidRDefault="00BE469C" w:rsidP="00BE469C">
      <w:pPr>
        <w:pStyle w:val="ListParagraph"/>
        <w:spacing w:after="0" w:line="240" w:lineRule="auto"/>
        <w:rPr>
          <w:rFonts w:ascii="Palatino Linotype" w:hAnsi="Palatino Linotype"/>
          <w:color w:val="000000"/>
          <w:sz w:val="20"/>
          <w:szCs w:val="20"/>
          <w:lang w:val="en-US"/>
        </w:rPr>
      </w:pPr>
    </w:p>
    <w:p w14:paraId="6E59EAEB" w14:textId="2E09BB73" w:rsidR="0064781D" w:rsidRDefault="0089385E" w:rsidP="0089385E">
      <w:pPr>
        <w:pStyle w:val="ListParagraph"/>
        <w:numPr>
          <w:ilvl w:val="0"/>
          <w:numId w:val="47"/>
        </w:num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t xml:space="preserve">Takrolimus </w:t>
      </w:r>
    </w:p>
    <w:p w14:paraId="076CFF1B" w14:textId="06C74466" w:rsidR="0089385E" w:rsidRDefault="0089385E" w:rsidP="0089385E">
      <w:pPr>
        <w:pStyle w:val="ListParagraph"/>
        <w:spacing w:after="0" w:line="240" w:lineRule="auto"/>
        <w:ind w:left="284" w:firstLine="436"/>
        <w:jc w:val="both"/>
        <w:rPr>
          <w:rFonts w:ascii="Palatino Linotype" w:hAnsi="Palatino Linotype"/>
          <w:color w:val="000000"/>
          <w:sz w:val="20"/>
          <w:szCs w:val="20"/>
          <w:lang w:val="en-US"/>
        </w:rPr>
      </w:pPr>
      <w:r w:rsidRPr="0089385E">
        <w:rPr>
          <w:rFonts w:ascii="Palatino Linotype" w:hAnsi="Palatino Linotype"/>
          <w:color w:val="000000"/>
          <w:sz w:val="20"/>
          <w:szCs w:val="20"/>
          <w:lang w:val="en-US"/>
        </w:rPr>
        <w:t>Takrolimus adalah agen imunosupresif yang umum digunakan untuk mencegah penyakit graft-versus-host setelah transplantasi. Baru-baru ini, obat ini juga dipelajari sebagai pilihan pengobatan untuk sitopenia autoimun yang refrakter atau kambuh. Sebuah studi retrospektif pada 80 pasien menunjukkan bahwa tacrolimus efektif dalam mengobati sitopenia autoimun seperti trombositopenia idiopatik (ITP), anemia hemolitik autoimun (AIHA), dan sindrom Evans (ES). Pasien diberikan tacrolimus dengan dosis awal 1 mg dua kali sehari, yang kemudian disesuaikan untuk menjaga kadar darah antara 4 hingga 10 ng/ml. Rentang ini mengikuti protokol transplantasi ginjal dan terapi imunosupresif lain, di mana kadar trough biasanya dipertahankan antara 3 hingga 14 ng/ml, dengan target pemeliharaan 4-10 ng/ml setelah dosis awal yang lebih tinggi</w:t>
      </w:r>
      <w:r>
        <w:rPr>
          <w:rFonts w:ascii="Palatino Linotype" w:hAnsi="Palatino Linotype"/>
          <w:color w:val="000000"/>
          <w:sz w:val="20"/>
          <w:szCs w:val="20"/>
          <w:lang w:val="en-US"/>
        </w:rPr>
        <w:t xml:space="preserve">. </w:t>
      </w:r>
      <w:r w:rsidRPr="0089385E">
        <w:rPr>
          <w:rFonts w:ascii="Palatino Linotype" w:hAnsi="Palatino Linotype"/>
          <w:color w:val="000000"/>
          <w:sz w:val="20"/>
          <w:szCs w:val="20"/>
          <w:lang w:val="en-US"/>
        </w:rPr>
        <w:t>Secara bersamaan, terapi kortikosteroid dikurangi secara bertahap sesuai jadwal, dengan semua pasien menghentikan steroid dalam waktu tiga bulan. Strategi ini didukung oleh bukti klinis bahwa penghentian steroid pada tiga bulan pasca-transplantasi, sambil mempertahankan tacrolimus, aman dan tidak meningkatkan risiko kegagalan graft atau kematian pada pasien terpilih. Pada beberapa kasus non-transplantasi, tapering steroid dapat dilakukan lebih cepat, bahkan dalam dua minggu, jika kontrol penyakit memadai</w:t>
      </w:r>
      <w:r>
        <w:rPr>
          <w:rFonts w:ascii="Palatino Linotype" w:hAnsi="Palatino Linotype"/>
          <w:color w:val="000000"/>
          <w:sz w:val="20"/>
          <w:szCs w:val="20"/>
          <w:lang w:val="en-US"/>
        </w:rPr>
        <w:t xml:space="preserve">. </w:t>
      </w:r>
      <w:r w:rsidRPr="0089385E">
        <w:rPr>
          <w:rFonts w:ascii="Palatino Linotype" w:hAnsi="Palatino Linotype"/>
          <w:color w:val="000000"/>
          <w:sz w:val="20"/>
          <w:szCs w:val="20"/>
          <w:lang w:val="en-US"/>
        </w:rPr>
        <w:t>Pengobatan tacrolimus dilanjutkan minimal enam bulan sebelum evaluasi efektivitas, dan pasien yang merespons baik dapat melanjutkan hingga delapan belas bulan dengan penurunan dosis secara bertahap. Pemantauan dilakukan setiap bulan selama tiga bulan pertama, kemudian setiap tiga bulan, meliputi pencatatan efek samping serta pemeriksaan laboratorium rutin seperti hitung darah, fungsi hati dan ginjal, serta kadar ta</w:t>
      </w:r>
      <w:r>
        <w:rPr>
          <w:rFonts w:ascii="Palatino Linotype" w:hAnsi="Palatino Linotype"/>
          <w:color w:val="000000"/>
          <w:sz w:val="20"/>
          <w:szCs w:val="20"/>
          <w:lang w:val="en-US"/>
        </w:rPr>
        <w:t>k</w:t>
      </w:r>
      <w:r w:rsidRPr="0089385E">
        <w:rPr>
          <w:rFonts w:ascii="Palatino Linotype" w:hAnsi="Palatino Linotype"/>
          <w:color w:val="000000"/>
          <w:sz w:val="20"/>
          <w:szCs w:val="20"/>
          <w:lang w:val="en-US"/>
        </w:rPr>
        <w:t xml:space="preserve">rolimus </w:t>
      </w:r>
      <w:r w:rsidRPr="0089385E">
        <w:rPr>
          <w:rFonts w:ascii="Palatino Linotype" w:hAnsi="Palatino Linotype"/>
          <w:i/>
          <w:iCs/>
          <w:color w:val="000000"/>
          <w:sz w:val="20"/>
          <w:szCs w:val="20"/>
          <w:lang w:val="en-US"/>
        </w:rPr>
        <w:t>trough</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{"citationItems":[{"id":"ITEM-1","itemData":{"DOI":"10.1080/16078454.2020.1852763","ISSN":"16078454","PMID":"33297889","abstract":"Background: The standard therapies for autoimmune cytopenias, including idiopathic thrombocytopenia (ITP), autoimmune hemolytic anemia (AIHA) and Evans syndrome (ES), are corticosteroids and intravenous immunoglobulin G. However, the recurrence rate is high. Method: Data from 80 patients with ITP, AIHA and ES who were refractory to corticosteroids/relapsed and were treated with tacrolimus from January 2018 to January 2019 in Peking Union Medical Colleague Hospital were reviewed retrospectively. Results: There were 24 males and 56 females, with a median age of 43 (14–81) years, including 66 with ITP, 11 with AIHA and 3 with ES. The median disease duration before tacrolimus was 16 (2–432) months. The complete response (CR) rates were 30.3%, 63.6% and 0%; the overall response (OR) rates were 63.6%, 72.7% and 66.7% for ITP, AIHA and ES, respectively; and the median time to response was 3 (2–10) months. In a median of 18 (10–24) months of follow-up time, 21.4% of ITP patients relapsed at a median time of 7 months. No relapse was found for patients with AIHA and ES. Side effects occurred in 16.3% of patients, including elevated creatinine (N = 3, 3.8%), gastrointestinal reactions (N = 3, 3.8%), and pulmonary infection (N = 2, 2.5%), and resulted in 3 patients stopping tacrolimus. The OR rate was found to be related with age (P = 0.01) but not with sex (P = 0.62), the duration of disease (P = 0.66), tacrolimus concentration (P = 0.99) or disease type (P = 0.84). Conclusion: Tacrolimus can achieve a durable response with mild side effects in patients with steroid-refractory/relapsed autoimmune cytopenias. Patients with younger age had a better response.","author":[{"dropping-particle":"","family":"Du","given":"Yali","non-dropping-particle":"","parse-names":false,"suffix":""},{"dropping-particle":"","family":"Yang","given":"Chen","non-dropping-particle":"","parse-names":false,"suffix":""},{"dropping-particle":"","family":"Chen","given":"Miao","non-dropping-particle":"","parse-names":false,"suffix":""},{"dropping-particle":"","family":"Ruan","given":"Jing","non-dropping-particle":"","parse-names":false,"suffix":""},{"dropping-particle":"","family":"Huang","given":"Yuzhou","non-dropping-particle":"","parse-names":false,"suffix":""},{"dropping-particle":"","family":"Chen","given":"Fangfei","non-dropping-particle":"","parse-names":false,"suffix":""},{"dropping-particle":"","family":"Han","given":"Bing","non-dropping-particle":"","parse-names":false,"suffix":""}],"container-title":"Hematology (United Kingdom)","id":"ITEM-1","issue":"1","issued":{"date-parts":[["2020"]]},"page":"478-483","title":"Tacrolimus is effective in relapsed/refractory autoimmune cytopenias: results of a single-center retrospective study","type":"article-journal","volume":"25"},"uris":["http://www.mendeley.com/documents/?uuid=7b241f0b-e021-4ac4-99e5-9fe96cb2670b","http://www.mendeley.com/documents/?uuid=42bd653e-2f33-48bf-ad34-1137bef412a0"]}],"mendeley":{"formattedCitation":"[52]","plainTextFormattedCitation":"[52]","previouslyFormattedCitation":"(52)"},"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[52]</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21552C51" w14:textId="33B3F9DE" w:rsidR="0089385E" w:rsidRPr="00475A35" w:rsidRDefault="0089385E" w:rsidP="0089385E">
      <w:pPr>
        <w:pStyle w:val="ListParagraph"/>
        <w:spacing w:after="0" w:line="240" w:lineRule="auto"/>
        <w:ind w:left="284" w:firstLine="436"/>
        <w:jc w:val="both"/>
        <w:rPr>
          <w:rFonts w:ascii="Palatino Linotype" w:hAnsi="Palatino Linotype"/>
          <w:color w:val="000000"/>
          <w:sz w:val="20"/>
          <w:szCs w:val="20"/>
          <w:lang w:val="sv-SE"/>
        </w:rPr>
      </w:pPr>
      <w:r w:rsidRPr="0089385E">
        <w:rPr>
          <w:rFonts w:ascii="Palatino Linotype" w:hAnsi="Palatino Linotype"/>
          <w:color w:val="000000"/>
          <w:sz w:val="20"/>
          <w:szCs w:val="20"/>
          <w:lang w:val="en-US"/>
        </w:rPr>
        <w:t xml:space="preserve">Studi oleh Du Yali et al., (2020) melaporkan tingkat respons keseluruhan sebesar 65%, dengan 33,8% pasien mencapai respons lengkap (CR) dan 31,3% respons parsial (PR). </w:t>
      </w:r>
      <w:r w:rsidRPr="000E3166">
        <w:rPr>
          <w:rFonts w:ascii="Palatino Linotype" w:hAnsi="Palatino Linotype"/>
          <w:color w:val="000000"/>
          <w:sz w:val="20"/>
          <w:szCs w:val="20"/>
          <w:lang w:val="sv-SE"/>
        </w:rPr>
        <w:t xml:space="preserve">Pasien biasanya merespons dalam waktu rata-rata tiga bulan, dengan tindak lanjut rata-rata 18 bulan. Kekambuhan terjadi pada 21,4% pasien ITP setelah rata-rata tujuh bulan, namun tidak ada kekambuhan pada pasien dengan AIHA atau ES. Efek samping umumnya ringan, dialami oleh 16,3% pasien, termasuk peningkatan kadar kreatinin, gejala gastrointestinal, dan infeksi paru; hanya tiga pasien menghentikan pengobatan karena efek samping. Pasien yang lebih muda cenderung memiliki respons lebih baik terhadap tacrolimus. </w:t>
      </w:r>
      <w:r w:rsidRPr="00475A35">
        <w:rPr>
          <w:rFonts w:ascii="Palatino Linotype" w:hAnsi="Palatino Linotype"/>
          <w:color w:val="000000"/>
          <w:sz w:val="20"/>
          <w:szCs w:val="20"/>
          <w:lang w:val="sv-SE"/>
        </w:rPr>
        <w:t xml:space="preserve">Obat ini bekerja dengan menghambat aktivasi sel T dan mengurangi produksi sitokin, sehingga membantu mengendalikan proses autoimun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{"citationItems":[{"id":"ITEM-1","itemData":{"DOI":"10.1080/16078454.2020.1852763","ISSN":"16078454","PMID":"33297889","abstract":"Background: The standard therapies for autoimmune cytopenias, including idiopathic thrombocytopenia (ITP), autoimmune hemolytic anemia (AIHA) and Evans syndrome (ES), are corticosteroids and intravenous immunoglobulin G. However, the recurrence rate is high. Method: Data from 80 patients with ITP, AIHA and ES who were refractory to corticosteroids/relapsed and were treated with tacrolimus from January 2018 to January 2019 in Peking Union Medical Colleague Hospital were reviewed retrospectively. Results: There were 24 males and 56 females, with a median age of 43 (14–81) years, including 66 with ITP, 11 with AIHA and 3 with ES. The median disease duration before tacrolimus was 16 (2–432) months. The complete response (CR) rates were 30.3%, 63.6% and 0%; the overall response (OR) rates were 63.6%, 72.7% and 66.7% for ITP, AIHA and ES, respectively; and the median time to response was 3 (2–10) months. In a median of 18 (10–24) months of follow-up time, 21.4% of ITP patients relapsed at a median time of 7 months. No relapse was found for patients with AIHA and ES. Side effects occurred in 16.3% of patients, including elevated creatinine (N = 3, 3.8%), gastrointestinal reactions (N = 3, 3.8%), and pulmonary infection (N = 2, 2.5%), and resulted in 3 patients stopping tacrolimus. The OR rate was found to be related with age (P = 0.01) but not with sex (P = 0.62), the duration of disease (P = 0.66), tacrolimus concentration (P = 0.99) or disease type (P = 0.84). Conclusion: Tacrolimus can achieve a durable response with mild side effects in patients with steroid-refractory/relapsed autoimmune cytopenias. Patients with younger age had a better response.","author":[{"dropping-particle":"","family":"Du","given":"Yali","non-dropping-particle":"","parse-names":false,"suffix":""},{"dropping-particle":"","family":"Yang","given":"Chen","non-dropping-particle":"","parse-names":false,"suffix":""},{"dropping-particle":"","family":"Chen","given":"Miao","non-dropping-particle":"","parse-names":false,"suffix":""},{"dropping-particle":"","family":"Ruan","given":"Jing","non-dropping-particle":"","parse-names":false,"suffix":""},{"dropping-particle":"","family":"Huang","given":"Yuzhou","non-dropping-particle":"","parse-names":false,"suffix":""},{"dropping-particle":"","family":"Chen","given":"Fangfei","non-dropping-particle":"","parse-names":false,"suffix":""},{"dropping-particle":"","family":"Han","given":"Bing","non-dropping-particle":"","parse-names":false,"suffix":""}],"container-title":"Hematology (United Kingdom)","id":"ITEM-1","issue":"1","issued":{"date-parts":[["2020"]]},"page":"478-483","title":"Tacrolimus is effective in relapsed/refractory autoimmune cytopenias: results of a single-center retrospective study","type":"article-journal","volume":"25"},"uris":["http://www.mendeley.com/documents/?uuid=42bd653e-2f33-48bf-ad34-1137bef412a0","http://www.mendeley.com/documents/?uuid=7b241f0b-e021-4ac4-99e5-9fe96cb2670b"]}],"mendeley":{"formattedCitation":"[52]","plainTextFormattedCitation":"[52]","previouslyFormattedCitation":"(52)"},"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[52]</w:t>
      </w:r>
      <w:r>
        <w:rPr>
          <w:rFonts w:ascii="Palatino Linotype" w:hAnsi="Palatino Linotype"/>
          <w:color w:val="000000"/>
          <w:sz w:val="20"/>
          <w:szCs w:val="20"/>
          <w:lang w:val="en-US"/>
        </w:rPr>
        <w:fldChar w:fldCharType="end"/>
      </w:r>
      <w:r w:rsidRPr="00475A35">
        <w:rPr>
          <w:rFonts w:ascii="Palatino Linotype" w:hAnsi="Palatino Linotype"/>
          <w:color w:val="000000"/>
          <w:sz w:val="20"/>
          <w:szCs w:val="20"/>
          <w:lang w:val="sv-SE"/>
        </w:rPr>
        <w:t>.</w:t>
      </w:r>
    </w:p>
    <w:p w14:paraId="41A34E8D" w14:textId="5496C962" w:rsidR="0089385E" w:rsidRPr="00475A35" w:rsidRDefault="0089385E" w:rsidP="0089385E">
      <w:pPr>
        <w:pStyle w:val="ListParagraph"/>
        <w:spacing w:after="0" w:line="240" w:lineRule="auto"/>
        <w:ind w:left="284" w:firstLine="436"/>
        <w:jc w:val="both"/>
        <w:rPr>
          <w:rFonts w:ascii="Palatino Linotype" w:hAnsi="Palatino Linotype"/>
          <w:color w:val="000000"/>
          <w:sz w:val="20"/>
          <w:szCs w:val="20"/>
          <w:lang w:val="sv-SE"/>
        </w:rPr>
      </w:pPr>
      <w:r w:rsidRPr="00475A35">
        <w:rPr>
          <w:rFonts w:ascii="Palatino Linotype" w:hAnsi="Palatino Linotype"/>
          <w:color w:val="000000"/>
          <w:sz w:val="20"/>
          <w:szCs w:val="20"/>
          <w:lang w:val="sv-SE"/>
        </w:rPr>
        <w:t xml:space="preserve">Selain itu, studi dan laporan kasus menunjukkan bahwa takrolimus dapat memberikan respons tahan lama dengan efek samping relatif ringan pada pasien dengan sitopenia autoimun, termasuk sindrom Evans. Sebuah laporan kasus menyoroti seorang pasien muda berusia 26 tahun yang menunjukkan respons signifikan terhadap tacrolimus setelah lebih dari 10 tahun gagal dengan terapi konvensional. Pasien ini awalnya didiagnosis trombositopenia imun pada 2004 dan menjalani berbagai terapi seperti glukokortikoid, imunoglobulin intravena, splenektomi, rituximab, serta kombinasi obat imunosupresif lainnya tanpa perbaikan bertahan lama. Setelah didiagnosis dengan Evans Syndrome pada 2008 dan mengalami komplikasi serius seperti stroke hemoragik, pasien mulai terapi tacrolimus pada 2014 yang berhasil meningkatkan jumlah trombosit hingga mencapai level normal tertinggi sejak diagnosis. Kasus ini menegaskan potensi takrolimus sebagai pilihan terapi efektif untuk ES yang resisten terhadap pengobatan konvensional, mengingat mekanisme kerjanya yang menghambat aktivitas calcineurin phosphatase dan perannya dalam imunosupresi pasca transplantasi organ. Respons tahan lama pasien terhadap tacrolimus membuka harapan baru dalam pengelolaan ES, terutama bagi pasien dengan pilihan terapi terbatas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10.1007/s10637-014-0155-9","ISSN":"15730646","PMID":"25209619","author":[{"dropping-particle":"","family":"Tabchi","given":"Samer","non-dropping-particle":"","parse-names":false,"suffix":""},{"dropping-particle":"","family":"Hanna","given":"Colette","non-dropping-particle":"","parse-names":false,"suffix":""},{"dropping-particle":"","family":"Kourie","given":"Hampig Raphael","non-dropping-particle":"","parse-names":false,"suffix":""},{"dropping-particle":"","family":"Aftimos","given":"Philippe","non-dropping-particle":"","parse-names":false,"suffix":""},{"dropping-particle":"","family":"Osta","given":"Lana","non-dropping-particle":"El","parse-names":false,"suffix":""},{"dropping-particle":"","family":"Ghosn","given":"Marwan","non-dropping-particle":"","parse-names":false,"suffix":""}],"container-title":"Investigational New Drugs","id":"ITEM-1","issue":"1","issued":{"date-parts":[["2015"]]},"page":"254-256","title":"Successful treatment of Evans syndrome with Tacrolimus","type":"article-journal","volume":"33"},"uris":["http://www.mendeley.com/documents/?uuid=fd5abdbc-f10a-43cd-948e-571d7fbb3758","http://www.mendeley.com/documents/?uuid=a61a9ecf-6612-4c01-a76b-8b6e4d6f3a61"]}],"mendeley":{"formattedCitation":"[53]","plainTextFormattedCitation":"[53]","previouslyFormattedCitation":"(53)"},"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[53]</w:t>
      </w:r>
      <w:r>
        <w:rPr>
          <w:rFonts w:ascii="Palatino Linotype" w:hAnsi="Palatino Linotype"/>
          <w:color w:val="000000"/>
          <w:sz w:val="20"/>
          <w:szCs w:val="20"/>
          <w:lang w:val="en-US"/>
        </w:rPr>
        <w:fldChar w:fldCharType="end"/>
      </w:r>
      <w:r w:rsidRPr="00475A35">
        <w:rPr>
          <w:rFonts w:ascii="Palatino Linotype" w:hAnsi="Palatino Linotype"/>
          <w:color w:val="000000"/>
          <w:sz w:val="20"/>
          <w:szCs w:val="20"/>
          <w:lang w:val="sv-SE"/>
        </w:rPr>
        <w:t xml:space="preserve">. </w:t>
      </w:r>
    </w:p>
    <w:p w14:paraId="1277AB13" w14:textId="77777777" w:rsidR="0089385E" w:rsidRPr="00475A35" w:rsidRDefault="0089385E" w:rsidP="0089385E">
      <w:pPr>
        <w:pStyle w:val="ListParagraph"/>
        <w:spacing w:after="0" w:line="240" w:lineRule="auto"/>
        <w:ind w:left="284" w:firstLine="436"/>
        <w:rPr>
          <w:rFonts w:ascii="Palatino Linotype" w:hAnsi="Palatino Linotype"/>
          <w:color w:val="000000"/>
          <w:sz w:val="20"/>
          <w:szCs w:val="20"/>
          <w:lang w:val="sv-SE"/>
        </w:rPr>
      </w:pPr>
    </w:p>
    <w:p w14:paraId="4D0ADAD9" w14:textId="77777777" w:rsidR="0089385E" w:rsidRPr="00475A35" w:rsidRDefault="0089385E" w:rsidP="0089385E">
      <w:pPr>
        <w:pStyle w:val="ListParagraph"/>
        <w:spacing w:after="0" w:line="240" w:lineRule="auto"/>
        <w:ind w:left="284" w:firstLine="436"/>
        <w:rPr>
          <w:rFonts w:ascii="Palatino Linotype" w:hAnsi="Palatino Linotype"/>
          <w:color w:val="000000"/>
          <w:sz w:val="20"/>
          <w:szCs w:val="20"/>
          <w:lang w:val="sv-SE"/>
        </w:rPr>
      </w:pPr>
    </w:p>
    <w:p w14:paraId="6016D710" w14:textId="57C03E0C" w:rsidR="0089385E" w:rsidRDefault="0089385E" w:rsidP="0089385E">
      <w:pPr>
        <w:pStyle w:val="ListParagraph"/>
        <w:numPr>
          <w:ilvl w:val="0"/>
          <w:numId w:val="47"/>
        </w:num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t>Sirolimus</w:t>
      </w:r>
    </w:p>
    <w:p w14:paraId="5334DA1C" w14:textId="7F50FD32" w:rsidR="0089385E" w:rsidRDefault="00C74608" w:rsidP="00C74608">
      <w:pPr>
        <w:pStyle w:val="ListParagraph"/>
        <w:spacing w:after="0" w:line="240" w:lineRule="auto"/>
        <w:ind w:left="284" w:firstLine="436"/>
        <w:jc w:val="both"/>
        <w:rPr>
          <w:rFonts w:ascii="Palatino Linotype" w:hAnsi="Palatino Linotype"/>
          <w:color w:val="000000"/>
          <w:sz w:val="20"/>
          <w:szCs w:val="20"/>
          <w:lang w:val="en-US"/>
        </w:rPr>
      </w:pPr>
      <w:r w:rsidRPr="00C74608">
        <w:rPr>
          <w:rFonts w:ascii="Palatino Linotype" w:hAnsi="Palatino Linotype"/>
          <w:color w:val="000000"/>
          <w:sz w:val="20"/>
          <w:szCs w:val="20"/>
          <w:lang w:val="en-US"/>
        </w:rPr>
        <w:t xml:space="preserve">Sirolimus adalah penghambat mTOR yang efektif dan aman untuk mengobati sitopenia autoimun pada pasien sindrom Evans (ES) yang sangat refrakter. Obat ini juga efektif digunakan sebagai terapi tunggal, sehingga dapat mengurangi kebutuhan penggunaan steroid tambahan. Sirolimus merupakan </w:t>
      </w:r>
      <w:r w:rsidRPr="00C74608">
        <w:rPr>
          <w:rFonts w:ascii="Palatino Linotype" w:hAnsi="Palatino Linotype"/>
          <w:color w:val="000000"/>
          <w:sz w:val="20"/>
          <w:szCs w:val="20"/>
          <w:lang w:val="en-US"/>
        </w:rPr>
        <w:lastRenderedPageBreak/>
        <w:t>antibiotik makrolida yang diproduksi oleh bakteri Streptomyces hygroscopicus dan pertama kali diisolasi dari sampel tanah di Pulau Paskah. Mekanisme kerjanya adalah dengan mengikat protein intraseluler FK-binding protein 12 (FKBP12) dengan afinitas tinggi, membentuk kompleks yang menghambat jalur target mTOR, khususnya kompleks mTORC1. Penghambatan ini menghalangi perkembangan siklus sel dan menekan aktivasi sel T dan B dengan mengganggu interleukin-2 (IL-2) serta mekanisme transduksi sinyal lain yang bergantung pada reseptor sitokin, sehingga menimbulkan efek imunosupresif. Berbeda dengan siklosporin dan takrolimus yang menghambat kalsineurin dan IL-2, sirolimus bekerja pada jalur mTOR di hilir pensinyalan IL-</w:t>
      </w:r>
      <w:r>
        <w:rPr>
          <w:rFonts w:ascii="Palatino Linotype" w:hAnsi="Palatino Linotype"/>
          <w:color w:val="000000"/>
          <w:sz w:val="20"/>
          <w:szCs w:val="20"/>
          <w:lang w:val="en-US"/>
        </w:rPr>
        <w:t xml:space="preserve">2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{"citationItems":[{"id":"ITEM-1","itemData":{"DOI":"10.3390/biology12091202","ISSN":"20797737","abstract":"In this review article, we present the fascinating story of rapamycin (sirolimus), a drug able to induce γ-globin gene expression and increased production of fetal hemoglobin (HbF) in erythroid cells, including primary erythroid precursor cells (ErPCs) isolated from β-thalassemia patients. For this reason, rapamycin is considered of great interest for the treatment of β-thalassemia. In fact, high levels of HbF are known to be highly beneficial for β-thalassemia patients. The story of rapamycin discovery began in 1964, with METEI, the Medical Expedition to Easter Island (Rapa Nui). During this expedition, samples of the soil from different parts of the island were collected and, from this material, an antibiotic-producing microorganism (Streptomyces hygroscopicus) was identified. Rapamycin was extracted from the mycelium with organic solvents, isolated, and demonstrated to be very active as an anti-bacterial and anti-fungal agent. Later, rapamycin was demonstrated to inhibit the in vitro cell growth of tumor cell lines. More importantly, rapamycin was found to be an immunosuppressive agent applicable to prevent kidney rejection after transplantation. More recently, rapamycin was found to be a potent inducer of HbF both in vitro using ErPCs isolated from β-thalassemia patients, in vivo using experimental mice, and in patients treated with this compound. These studies were the basis for proposing clinical trials on β-thalassemia patients.","author":[{"dropping-particle":"","family":"Gambari","given":"Roberto","non-dropping-particle":"","parse-names":false,"suffix":""},{"dropping-particle":"","family":"Zuccato","given":"Cristina","non-dropping-particle":"","parse-names":false,"suffix":""},{"dropping-particle":"","family":"Cosenza","given":"Lucia Carmela","non-dropping-particle":"","parse-names":false,"suffix":""},{"dropping-particle":"","family":"Zurlo","given":"Matteo","non-dropping-particle":"","parse-names":false,"suffix":""},{"dropping-particle":"","family":"Gasparello","given":"Jessica","non-dropping-particle":"","parse-names":false,"suffix":""},{"dropping-particle":"","family":"Finotti","given":"Alessia","non-dropping-particle":"","parse-names":false,"suffix":""},{"dropping-particle":"","family":"Gamberini","given":"Maria Rita","non-dropping-particle":"","parse-names":false,"suffix":""},{"dropping-particle":"","family":"Prosdocimi","given":"Marco","non-dropping-particle":"","parse-names":false,"suffix":""}],"container-title":"Biology","id":"ITEM-1","issue":"9","issued":{"date-parts":[["2023"]]},"title":"The Long Scientific Journey of Sirolimus (Rapamycin): From the Soil of Easter Island (Rapa Nui) to Applied Research and Clinical Trials on β-Thalassemia and Other Hemoglobinopathies","type":"article-journal","volume":"12"},"uris":["http://www.mendeley.com/documents/?uuid=eb9cced5-7a68-41fd-b27e-3cc5c8e1f374","http://www.mendeley.com/documents/?uuid=efc69fe5-ab66-47de-abaf-9b7b04783cc7"]}],"mendeley":{"formattedCitation":"[54]","plainTextFormattedCitation":"[54]","previouslyFormattedCitation":"(54)"},"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[54]</w:t>
      </w:r>
      <w:r>
        <w:rPr>
          <w:rFonts w:ascii="Palatino Linotype" w:hAnsi="Palatino Linotype"/>
          <w:color w:val="000000"/>
          <w:sz w:val="20"/>
          <w:szCs w:val="20"/>
          <w:lang w:val="en-US"/>
        </w:rPr>
        <w:fldChar w:fldCharType="end"/>
      </w:r>
    </w:p>
    <w:p w14:paraId="5396D25F" w14:textId="0B12730C" w:rsidR="00C74608" w:rsidRDefault="00C74608" w:rsidP="00C74608">
      <w:pPr>
        <w:pStyle w:val="ListParagraph"/>
        <w:spacing w:after="0" w:line="240" w:lineRule="auto"/>
        <w:ind w:left="284" w:firstLine="436"/>
        <w:jc w:val="both"/>
        <w:rPr>
          <w:rFonts w:ascii="Palatino Linotype" w:hAnsi="Palatino Linotype"/>
          <w:color w:val="000000"/>
          <w:sz w:val="20"/>
          <w:szCs w:val="20"/>
          <w:lang w:val="en-US"/>
        </w:rPr>
      </w:pPr>
      <w:r w:rsidRPr="00C74608">
        <w:rPr>
          <w:rFonts w:ascii="Palatino Linotype" w:hAnsi="Palatino Linotype"/>
          <w:color w:val="000000"/>
          <w:sz w:val="20"/>
          <w:szCs w:val="20"/>
          <w:lang w:val="en-US"/>
        </w:rPr>
        <w:t>Secara klinis, sirolimus digunakan untuk mencegah penolakan cangkok pada transplantasi organ padat dan mengobati berbagai penyakit autoimun. Pada model tikus, sirolimus mengurangi sitokin inflamasi Th1, memperluas sel T regulator, dan menghilangkan sel T CD8+ efektor. Studi pada pasien anemia hemolitik autoimun (AIHA) dan sindrom limfoproliferatif autoimun (ALPS) menunjukkan tingkat respons sekitar 70-90% dengan tingkat kekambuhan rendah. Dalam penelitian retrospektif terhadap 44 pasien AIHA/ES yang relaps atau refrakter di Peking Union Medical College Hospital, 79,5% pasien merespons sirolimus, dengan 56,8% mencapai respons lengkap dalam waktu median 2-3 bulan. Parameter laboratorium seperti hemoglobin meningkat signifikan, sedangkan indikator hemolisis menurun. Efek samping yang umum adalah mukositis (11,4%), infeksi (9,1%), dan peningkatan enzim hati (9,1%), namun mayoritas ringan dan dapat dikontrol. Tingkat kekambuhan rendah, hanya 14,3% pasien mengalami relaps dengan median waktu 19 bulan. Pasien dengan kadar sirolimus plasma yang lebih tinggi menunjukkan tingkat respons dan respons lengkap yang lebih baik secara signifikan. Namun, pasien yang sebelumnya mengalami relaps terhadap glukokortikoid memiliki prognosis relapse-free survival yang lebih buruk dibandingkan pasien yang resisten terhadap glukokortikoid. Studi ini menegaskan bahwa sirolimus merupakan terapi penyelamat yang efektif dan aman untuk pasien AIHA/ES yang relaps atau refrakter, walaupun diperlukan penelitian lebih lanjut dengan sampel lebih besar dan waktu tindak lanjut lebih lama</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{"citationItems":[{"id":"ITEM-1","itemData":{"DOI":"10.1080/07853890.2023.2282180","ISSN":"13652060","PMID":"37967535","abstract":"Background: Some patients with warm autoimmune haemolytic anaemia (wAIHA) or Evans syndrome (ES) have no response to glucocorticoid or relapse. Recent studies found that sirolimus was effective in autoimmune cytopenia with a low relapse rate. Methods: Data from patients with refractory/relapsed wAIHA and ES in Peking Union Medical College Hospital from July 2016 to May 2022 who had been treated with sirolimus for at least 6 months and followed up for at least 12 months were collected retrospectively. Baseline and follow-up clinical data were recorded and the rate of complete response (CR), partial response (PR) at different time points, adverse events, relapse, outcomes, and factors that may affect the efficacy and relapse were analyzed. Results: There were 44 patients enrolled, with 9 (20.5%) males and a median age of 44 (range: 18–86) years. 37 (84.1%) patients were diagnosed as wAIHA, and 7 (15.9%) as ES. Patients were treated with sirolimus for a median of 23 (range: 6–80) months and followed up for a median of 25 (range: 12–80) months. 35 (79.5%) patients responded to sirolimus, and 25 (56.8%) patients achieved an optimal response of CR. Mucositis (11.4%), infection (9.1%), and alanine aminotransferase elevation (9.1%) were the most common adverse events. 5/35 patients (14.3%) relapsed at a median of 19 (range: 15–50) months. Patients with a higher sirolimus plasma trough concentration had a higher overall response (OR) and CR rate (p = 0.009, 0.011, respectively). At the time of enrolment, patients were divided into two subgroups that relapsed or refractory to glucocorticoid, and the former had poorer relapse-free survival (p = 0.032) than the other group. Conclusion: Sirolimus is effective for patients with primary refractory/relapsed wAIHA and ES, with a low relapse rate and mild side effects. Patients with a higher sirolimus plasma trough concentration had a higher OR and CR rate, and patients who relapsed to glucocorticoid treatment had poorer relapse-free survival than those who were refractory.","author":[{"dropping-particle":"","family":"Zhang","given":"Zhuxin","non-dropping-particle":"","parse-names":false,"suffix":""},{"dropping-particle":"","family":"Hu","given":"Qinglin","non-dropping-particle":"","parse-names":false,"suffix":""},{"dropping-particle":"","family":"Yang","given":"Chen","non-dropping-particle":"","parse-names":false,"suffix":""},{"dropping-particle":"","family":"Chen","given":"Miao","non-dropping-particle":"","parse-names":false,"suffix":""},{"dropping-particle":"","family":"Han","given":"Bing","non-dropping-particle":"","parse-names":false,"suffix":""}],"container-title":"Annals of Medicine","id":"ITEM-1","issue":"2","issued":{"date-parts":[["2023"]]},"page":"-","publisher":"Taylor &amp; Francis","title":"Sirolimus is effective for primary refractory/relapsed warm autoimmune haemolytic anaemia/Evans syndrome: a retrospective single-center study","type":"article-journal","volume":"55"},"uris":["http://www.mendeley.com/documents/?uuid=9bbc8257-0ad1-4ded-88f0-347412562957","http://www.mendeley.com/documents/?uuid=9f2362c4-e8fd-4480-950d-6e4b6492acef"]}],"mendeley":{"formattedCitation":"[55]","plainTextFormattedCitation":"[55]","previouslyFormattedCitation":"(55)"},"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[55]</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20106B7B" w14:textId="303C3600" w:rsidR="00C74608" w:rsidRPr="00475A35" w:rsidRDefault="00C74608" w:rsidP="00C74608">
      <w:pPr>
        <w:pStyle w:val="ListParagraph"/>
        <w:spacing w:after="0" w:line="240" w:lineRule="auto"/>
        <w:ind w:left="284" w:firstLine="436"/>
        <w:jc w:val="both"/>
        <w:rPr>
          <w:rFonts w:ascii="Palatino Linotype" w:hAnsi="Palatino Linotype"/>
          <w:color w:val="000000"/>
          <w:sz w:val="20"/>
          <w:szCs w:val="20"/>
          <w:lang w:val="sv-SE"/>
        </w:rPr>
      </w:pPr>
      <w:r w:rsidRPr="00C74608">
        <w:rPr>
          <w:rFonts w:ascii="Palatino Linotype" w:hAnsi="Palatino Linotype"/>
          <w:color w:val="000000"/>
          <w:sz w:val="20"/>
          <w:szCs w:val="20"/>
          <w:lang w:val="en-US"/>
        </w:rPr>
        <w:t xml:space="preserve">Efektivitas sirolimus juga lebih signifikan pada pasien ES dibandingkan dengan pasien yang mengalami sitopenia autoimun garis keturunan tunggal, dengan aktivitas yang sangat baik pada ALPS. Uji klinis Fase II (NTC00392951) mengevaluasi sirolimus pada dosis 3 mg/m² dan 2,5 mg/m² berdasarkan kadar serum pada sitopenia autoimun refrakter, termasuk ES. </w:t>
      </w:r>
      <w:r w:rsidRPr="00475A35">
        <w:rPr>
          <w:rFonts w:ascii="Palatino Linotype" w:hAnsi="Palatino Linotype"/>
          <w:color w:val="000000"/>
          <w:sz w:val="20"/>
          <w:szCs w:val="20"/>
          <w:lang w:val="sv-SE"/>
        </w:rPr>
        <w:t xml:space="preserve">Dari 30 pasien yang dievaluasi, terdapat tiga respons lengkap, tiga respons parsial, dan dua pasien tanpa respons. Efek samping utama adalah mukositis tingkat 1–2 dan peningkatan kadar trigliserida serta kolesterol, dengan kejadian lain seperti hipertensi, sakit kepala, jerawat, sensitivitas terhadap sinar matahari, dan eksaserbasi refluks gastroesofageal, namun secara keseluruhan profil keamanan dan tolerabilitasnya baik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{"citationItems":[{"id":"ITEM-1","itemData":{"DOI":"10.1179/1607845412Y.0000000060","ISSN":"10245332","PMID":"23321502","abstract":"A 58-year-old woman presented with rheumatoid arthritis-associated Evans syndrome (simultaneous autoimmune hemolytic anemia and autoimmune thrombocytopenic purpura); she was treated unsuccesfully with steroids, romiplostin, rituximab, immunoglobulin G, and splenectomy. The platelet count responded to the combined use of prednisone, eltrombopag, and romiplostin. It may be more reasonable to use combined treatments than sequential monotherapies. © W. S. Maney &amp; Son Ltd 2013.","author":[{"dropping-particle":"","family":"Ruiz-Arguelles","given":"Guillermo José","non-dropping-particle":"","parse-names":false,"suffix":""},{"dropping-particle":"","family":"Ruiz-Delgado","given":"Guillermo José","non-dropping-particle":"","parse-names":false,"suffix":""},{"dropping-particle":"","family":"Velázquez-Sánchez-de-Cima","given":"Sara","non-dropping-particle":"","parse-names":false,"suffix":""},{"dropping-particle":"","family":"Zamora-Ortiz","given":"Gabriela","non-dropping-particle":"","parse-names":false,"suffix":""}],"container-title":"Hematology","id":"ITEM-1","issue":"3","issued":{"date-parts":[["2013"]]},"page":"175-177","title":"Simultaneous romiplostin, eltrombopag, and prednisone were successful in severe thrombocytopenia of Evans syndrome refractory to hydrocortisone, splenectomy, intravenous IgG, and rituximab","type":"article-journal","volume":"18"},"uris":["http://www.mendeley.com/documents/?uuid=350bf53c-3955-4a33-94b9-db5c289928a6","http://www.mendeley.com/documents/?uuid=2f9de03d-050c-40f9-a944-2f185948a5b2"]}],"mendeley":{"formattedCitation":"[56]","plainTextFormattedCitation":"[56]","previouslyFormattedCitation":"(56)"},"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[56]</w:t>
      </w:r>
      <w:r>
        <w:rPr>
          <w:rFonts w:ascii="Palatino Linotype" w:hAnsi="Palatino Linotype"/>
          <w:color w:val="000000"/>
          <w:sz w:val="20"/>
          <w:szCs w:val="20"/>
          <w:lang w:val="en-US"/>
        </w:rPr>
        <w:fldChar w:fldCharType="end"/>
      </w:r>
    </w:p>
    <w:p w14:paraId="2BFBA5E3" w14:textId="4B8533F2" w:rsidR="00C74608" w:rsidRPr="00475A35" w:rsidRDefault="00C74608" w:rsidP="00C74608">
      <w:pPr>
        <w:pStyle w:val="ListParagraph"/>
        <w:spacing w:after="0" w:line="240" w:lineRule="auto"/>
        <w:ind w:left="284" w:firstLine="436"/>
        <w:jc w:val="both"/>
        <w:rPr>
          <w:rFonts w:ascii="Palatino Linotype" w:hAnsi="Palatino Linotype"/>
          <w:color w:val="000000"/>
          <w:sz w:val="20"/>
          <w:szCs w:val="20"/>
          <w:lang w:val="sv-SE"/>
        </w:rPr>
      </w:pPr>
      <w:r w:rsidRPr="00475A35">
        <w:rPr>
          <w:rFonts w:ascii="Palatino Linotype" w:hAnsi="Palatino Linotype"/>
          <w:color w:val="000000"/>
          <w:sz w:val="20"/>
          <w:szCs w:val="20"/>
          <w:lang w:val="sv-SE"/>
        </w:rPr>
        <w:t xml:space="preserve">Sirolimus juga efektif mengobati autoimun sitopenia primer yang kambuh atau resisten seperti AIHA, trombositopenia imun (ITP), dan sindrom Evans. Studi multisentra pada 45 pasien menunjukkan tingkat respons keseluruhan 75,6%, dengan 28 pasien mencapai respons lengkap dan kekambuhan rendah selama tindak lanjut median 18 bulan. Efek samping umumnya ringan, terutama mukositis, dan tidak ditemukan perbedaan respons signifikan berdasarkan usia, jenis kelamin, atau tipe penyakit, meskipun pasien AIHA cenderung merespons lebih baik. Studi lain mendukung sirolimus sebagai agen penghemat steroid yang aman dan efektif, terutama pada sitopenia autoimun multilinier resisten dan ALPS, dengan respons lengkap tahan lama dan perbaikan gejala yang cepat. Sirolimus direkomendasikan sebagai terapi awal untuk pengobatan kronis berkat efek imunosupresif terarah dan profil keamanan yang baik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{"citationItems":[{"id":"ITEM-1","itemData":{"DOI":"10.1016/j.exphem.2020.08.001","ISSN":"18732399","PMID":"32771553","abstract":"Autoimmune cytopenia includes autoimmune hemolytic anemia (AIHA), immune thrombocytopenia (ITP), and Evans syndrome (ES) caused by abnormal activation of autoimmunity and has a considerable refractory/relapse rate. To evaluate the efficacy and toxicity of sirolimus of primary relapsed/refractory autoimmune cytopenia, records of 45 patients with primary relapsed/refractory AIHA, ES, or ITP from October 2016 to January 2019 in two institutions, were collected; there were 3 pediatric patients and 42 adult patients. The median age at diagnosis was 31 (1–84) years. Patients were treated for a median of 14 (6–39) months and followed-up for a median of 18 (10–40) months. Thirty-eight patients responded to sirolimus, with 28 complete responses (CRs) and a median of 2 (2–5) months to response. Five patients had mucositis; the incidences of other adverse events were all less than 5%. Four patients relapsed, making the CR and overall response rate 46.7% and 75.6% at the end of follow-up. There were no differences in patient age, sex, time from diagnosis to sirolimus, serum sirolimus concentration, and disease distribution between CR and non-CR patients, or between responders and nonresponders, though AIHA patients were likely to relapse less and respond better. In conclusion, sirolimus is effective for patients with primary relapsed/refractory autoimmune cytopenia with a low relapse rate and good tolerance.","author":[{"dropping-particle":"","family":"Li","given":"Hongmin","non-dropping-particle":"","parse-names":false,"suffix":""},{"dropping-particle":"","family":"Ji","given":"Jiang","non-dropping-particle":"","parse-names":false,"suffix":""},{"dropping-particle":"","family":"Du","given":"Yali","non-dropping-particle":"","parse-names":false,"suffix":""},{"dropping-particle":"","family":"Huang","given":"Yuzhou","non-dropping-particle":"","parse-names":false,"suffix":""},{"dropping-particle":"","family":"Gu","given":"Hao","non-dropping-particle":"","parse-names":false,"suffix":""},{"dropping-particle":"","family":"Chen","given":"Miao","non-dropping-particle":"","parse-names":false,"suffix":""},{"dropping-particle":"","family":"Wu","given":"Run Hui","non-dropping-particle":"","parse-names":false,"suffix":""},{"dropping-particle":"","family":"Han","given":"Bing","non-dropping-particle":"","parse-names":false,"suffix":""}],"container-title":"Experimental Hematology","id":"ITEM-1","issued":{"date-parts":[["2020"]]},"page":"87-95","publisher":"Elsevier Inc.","title":"Sirolimus is effective for primary relapsed/refractory autoimmune cytopenia: a multicenter study","type":"article-journal","volume":"89"},"uris":["http://www.mendeley.com/documents/?uuid=cf51b535-56a6-42bf-93f6-8c0ca9ccc1e4","http://www.mendeley.com/documents/?uuid=49bb3dae-dca0-4c1b-a7e5-aed9b5c6a3ac"]}],"mendeley":{"formattedCitation":"[57]","plainTextFormattedCitation":"[57]","previouslyFormattedCitation":"(57)"},"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[57]</w:t>
      </w:r>
      <w:r>
        <w:rPr>
          <w:rFonts w:ascii="Palatino Linotype" w:hAnsi="Palatino Linotype"/>
          <w:color w:val="000000"/>
          <w:sz w:val="20"/>
          <w:szCs w:val="20"/>
          <w:lang w:val="en-US"/>
        </w:rPr>
        <w:fldChar w:fldCharType="end"/>
      </w:r>
      <w:r w:rsidRPr="00475A35">
        <w:rPr>
          <w:rFonts w:ascii="Palatino Linotype" w:hAnsi="Palatino Linotype"/>
          <w:color w:val="000000"/>
          <w:sz w:val="20"/>
          <w:szCs w:val="20"/>
          <w:lang w:val="sv-SE"/>
        </w:rPr>
        <w:t xml:space="preserve">. </w:t>
      </w:r>
    </w:p>
    <w:p w14:paraId="1A87C9B1" w14:textId="30FA947A" w:rsidR="00C74608" w:rsidRDefault="00C74608" w:rsidP="00C74608">
      <w:pPr>
        <w:pStyle w:val="ListParagraph"/>
        <w:spacing w:after="0" w:line="240" w:lineRule="auto"/>
        <w:ind w:left="284" w:firstLine="436"/>
        <w:jc w:val="both"/>
        <w:rPr>
          <w:rFonts w:ascii="Palatino Linotype" w:hAnsi="Palatino Linotype"/>
          <w:color w:val="000000"/>
          <w:sz w:val="20"/>
          <w:szCs w:val="20"/>
          <w:lang w:val="en-US"/>
        </w:rPr>
      </w:pPr>
      <w:r w:rsidRPr="00475A35">
        <w:rPr>
          <w:rFonts w:ascii="Palatino Linotype" w:hAnsi="Palatino Linotype"/>
          <w:color w:val="000000"/>
          <w:sz w:val="20"/>
          <w:szCs w:val="20"/>
          <w:lang w:val="sv-SE"/>
        </w:rPr>
        <w:t xml:space="preserve">Pada pasien anak dengan ITP dan ES, sirolimus terbukti menjadi pilihan terapi efektif dan aman, terutama pada kasus persisten, relaps, atau refrakter. Analisis retrospektif melaporkan 80% pasien ES merespons sirolimus, dengan 50% mencapai respons lengkap dan 50% respons parsial. Sebagian besar pasien yang mencapai respons lengkap mampu menghentikan terapi selama median 2 tahun, menunjukkan remisi tahan lama. Pada pasien ITP, 73% mencapai respons lengkap dalam waktu sekitar 3 bulan. Studi multisentra mengonfirmasi efektivitas sirolimus pada berbagai sitopenia autoimun dengan tingkat relaps dan toksisitas yang rendah. Sirolimus berfungsi sebagai agen imunosupresif yang mengurangi kebutuhan steroid, sehingga menurunkan risiko efek samping jangka panjang steroid. Terapi ini juga meningkatkan jumlah sel T regulator yang membantu mengembalikan keseimbangan imun dengan menghambat diferensiasi sel T pro-inflamasi dan mengurangi produksi antibodi terhadap trombosit. Regimen pengobatan biasanya menargetkan kadar serum sirolimus antara 4–15 ng/mL selama </w:t>
      </w:r>
      <w:r w:rsidRPr="00475A35">
        <w:rPr>
          <w:rFonts w:ascii="Palatino Linotype" w:hAnsi="Palatino Linotype"/>
          <w:color w:val="000000"/>
          <w:sz w:val="20"/>
          <w:szCs w:val="20"/>
          <w:lang w:val="sv-SE"/>
        </w:rPr>
        <w:lastRenderedPageBreak/>
        <w:t xml:space="preserve">minimal 6 bulan, dengan penyesuaian dosis berdasarkan respons klinis. Secara keseluruhan, sirolimus merupakan alternatif menjanjikan bagi pasien ITP dan ES yang tidak merespons terapi lini pertama, dengan profil keamanan baik dan efek samping ringan, serta mampu meningkatkan kualitas hidup melalui perbaikan parameter hemolisis dan jumlah trombosit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{"citationItems":[{"id":"ITEM-1","itemData":{"DOI":"10.1097/MPH.0000000000000818","ISSN":"15363678","PMID":"28267088","abstract":"Background: Autoimmune cytopenias are characterized by immune-mediated destruction of hematopoietic cell lines with immune thrombocytopenia (ITP) affecting platelets and Evans syndrome (ES) affecting platelets and red blood cells. For patients with persistent disease, limited options for effective and well-tolerated therapies exist. Objectives: Our aim is to describe our institution's experience with sirolimus as therapy for pediatric patients with persistent ITP and ES. Design/Method: A retrospective analysis was performed in patients with persistent ITP and ES treated with sirolimus. Responses were categorized as complete response (CR), partial response, modest response, or no response. Results: Of the 17 patients treated, 12 had ITP and 5 had ES. Seventy-three percent of ITP patients achieved a CR, 78% of them by 3 months. Only 2 patients did not achieve a durable response. Eighty percent of ES patients had a response, with 50% of them achieving CR and the other 50% an asymptomatic partial response. One patient with ES achieved modest response, but discontinued therapy due to an adverse effect. Of the patients that achieved CR, 90% remain off all therapy for a median of 2 years. Conclusions: Our data suggest that sirolimus is a safe and effective steroid-sparing agent in the treatment of persistent ITP and ES.","author":[{"dropping-particle":"","family":"Jasinski","given":"Sylwia","non-dropping-particle":"","parse-names":false,"suffix":""},{"dropping-particle":"","family":"Weinblatt","given":"Mark E.","non-dropping-particle":"","parse-names":false,"suffix":""},{"dropping-particle":"","family":"Glasser","given":"Chana L.","non-dropping-particle":"","parse-names":false,"suffix":""}],"container-title":"Journal of Pediatric Hematology/Oncology","id":"ITEM-1","issue":"6","issued":{"date-parts":[["2017"]]},"page":"420-424","title":"Sirolimus as an Effective Agent in the Treatment of Immune Thrombocytopenia (ITP) and Evans Syndrome (ES): A Single Institution's Experience","type":"article-journal","volume":"39"},"uris":["http://www.mendeley.com/documents/?uuid=a652a239-e474-453d-b258-ed2bafc7b153","http://www.mendeley.com/documents/?uuid=78cb58f1-52ce-4234-ba4d-aab490822cde"]}],"mendeley":{"formattedCitation":"[58]","plainTextFormattedCitation":"[58]","previouslyFormattedCitation":"(58)"},"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[58]</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2D99B5EE" w14:textId="77777777" w:rsidR="00517F06" w:rsidRDefault="00C74608" w:rsidP="00517F06">
      <w:pPr>
        <w:pStyle w:val="ListParagraph"/>
        <w:numPr>
          <w:ilvl w:val="0"/>
          <w:numId w:val="47"/>
        </w:numPr>
        <w:spacing w:after="0" w:line="240" w:lineRule="auto"/>
        <w:rPr>
          <w:rFonts w:ascii="Palatino Linotype" w:hAnsi="Palatino Linotype"/>
          <w:b/>
          <w:bCs/>
          <w:color w:val="000000"/>
          <w:sz w:val="20"/>
          <w:szCs w:val="20"/>
          <w:lang w:val="en-US"/>
        </w:rPr>
      </w:pPr>
      <w:r w:rsidRPr="00F144B5">
        <w:rPr>
          <w:rFonts w:ascii="Palatino Linotype" w:hAnsi="Palatino Linotype"/>
          <w:b/>
          <w:bCs/>
          <w:color w:val="000000"/>
          <w:sz w:val="20"/>
          <w:szCs w:val="20"/>
          <w:lang w:val="en-US"/>
        </w:rPr>
        <w:t xml:space="preserve">Bortezomib </w:t>
      </w:r>
    </w:p>
    <w:p w14:paraId="1525B5A8" w14:textId="649C3FBC" w:rsidR="00517F06" w:rsidRDefault="00517F06" w:rsidP="00517F06">
      <w:pPr>
        <w:pStyle w:val="ListParagraph"/>
        <w:spacing w:after="0" w:line="240" w:lineRule="auto"/>
        <w:ind w:left="426" w:firstLine="294"/>
        <w:jc w:val="both"/>
        <w:rPr>
          <w:rFonts w:ascii="Palatino Linotype" w:hAnsi="Palatino Linotype"/>
          <w:color w:val="000000"/>
          <w:sz w:val="20"/>
          <w:szCs w:val="20"/>
          <w:lang w:val="en-US"/>
        </w:rPr>
      </w:pPr>
      <w:r w:rsidRPr="00517F06">
        <w:rPr>
          <w:rFonts w:ascii="Palatino Linotype" w:hAnsi="Palatino Linotype"/>
          <w:color w:val="000000"/>
          <w:sz w:val="20"/>
          <w:szCs w:val="20"/>
          <w:lang w:val="en-US"/>
        </w:rPr>
        <w:t xml:space="preserve">Bortezomib, penghambat proteasom yang secara tradisional digunakan untuk mieloma multipel, telah menunjukkan hasil menjanjikan dalam pengobatan sindrom Evans refrakter (ES), kelainan autoimun langka yang ditandai dengan anemia hemolitik autoimun (AIHA) dan trombositopenia imun (ITP). Bukti dari studi kasus dan uji klinis kecil menunjukkan bahwa bortezomib dapat memicu remisi cepat dan tahan lama pada pasien anak-anak maupun dewasa yang tidak merespons terapi standar seperti steroid, rituximab, atau splenektomi </w:t>
      </w:r>
      <w:r w:rsidRPr="00517F06">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{"citationItems":[{"id":"ITEM-1","itemData":{"DOI":"10.1002/pbc.28725","ISSN":"15455017","PMID":"32969165","abstract":"Treatment of refractory Evans syndrome (ES) remains a challenge in hematology practice. Due to rarity of this condition, evidence-based approaches are limited and often treatment choices stem from small case series or anecdotal experiences. There is mounting evidence that some patients have genetic defects that could be targeted with promising preliminary results. Here, we describe three very refractory pediatric ES cases treated on bortezomib without adverse effects. Two of the three patients had dramatic and long-lasting recovery that started following the initial doses of the drug. Clinical trials to assess the role of bortezomib in ES treatment are warranted.","author":[{"dropping-particle":"","family":"Beydoun","given":"Serina B.","non-dropping-particle":"","parse-names":false,"suffix":""},{"dropping-particle":"","family":"Persaud","given":"Yogindra","non-dropping-particle":"","parse-names":false,"suffix":""},{"dropping-particle":"","family":"Lafferty","given":"Jennifer","non-dropping-particle":"","parse-names":false,"suffix":""},{"dropping-particle":"","family":"Callaghan","given":"Michael U.","non-dropping-particle":"","parse-names":false,"suffix":""},{"dropping-particle":"","family":"Savaşan","given":"Süreyya","non-dropping-particle":"","parse-names":false,"suffix":""}],"container-title":"Pediatric Blood and Cancer","id":"ITEM-1","issue":"12","issued":{"date-parts":[["2020"]]},"page":"8-11","title":"Bortezomib treatment of steroid-refractory Evans syndrome in children","type":"article-journal","volume":"67"},"uris":["http://www.mendeley.com/documents/?uuid=7dd2b20a-33d1-494a-b359-37e561bc548b","http://www.mendeley.com/documents/?uuid=23f7f2a5-8ee2-454e-9bb4-745299da09bc"]}],"mendeley":{"formattedCitation":"[59]","plainTextFormattedCitation":"[59]","previouslyFormattedCitation":"(59)"},"properties":{"noteIndex":0},"schema":"https://github.com/citation-style-language/schema/raw/master/csl-citation.json"}</w:instrText>
      </w:r>
      <w:r w:rsidRPr="00517F06">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[59]</w:t>
      </w:r>
      <w:r w:rsidRPr="00517F06">
        <w:rPr>
          <w:rFonts w:ascii="Palatino Linotype" w:hAnsi="Palatino Linotype"/>
          <w:color w:val="000000"/>
          <w:sz w:val="20"/>
          <w:szCs w:val="20"/>
          <w:lang w:val="en-US"/>
        </w:rPr>
        <w:fldChar w:fldCharType="end"/>
      </w:r>
      <w:r w:rsidRPr="00517F06">
        <w:rPr>
          <w:rFonts w:ascii="Palatino Linotype" w:hAnsi="Palatino Linotype"/>
          <w:color w:val="000000"/>
          <w:sz w:val="20"/>
          <w:szCs w:val="20"/>
          <w:lang w:val="en-US"/>
        </w:rPr>
        <w:t xml:space="preserve">. Mekanisme kerja bortezomib melibatkan penargetan sel plasma berumur panjang yang menghasilkan autoantibodi patogenik. Bortezomib menghambat proteasom 26S, komponen penting dalam jalur ubiquitin-proteasome yang bertanggung jawab atas degradasi protein intraseluler. Dengan demikian, obat ini menghambat aktivasi faktor nuklir kappa-light-chain-enhancer dari sel B yang diaktifkan (NF-κB) dan menginduksi stres retikulum endoplasma. Bortezomib menargetkan situs mirip kimotripsin dalam inti proteolitik 20S, mencegah degradasi faktor pro-apoptotik dan menghambat aktivasi NF-κB, sehingga menyebabkan apoptosis dan penghentian siklus sel pada fase G2-M. Hal ini menekan produksi sitokin inflamasi dan autoantibodi, khususnya efektif terhadap sel plasma CD19+/CD20− yang tidak terjangkau oleh rituximab, yang menargetkan sel B CD20+ saja. Dengan demikian, bortezomib mengatasi keterbatasan utama rituximab </w:t>
      </w:r>
      <w:r w:rsidRPr="00517F06">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{"citationItems":[{"id":"ITEM-1","itemData":{"DOI":"10.1158/1535-7163.MCT-11-0433.Mechanism","ISBN":"2163684814","abstract":"file:///C:/Users/Marika/Desktop/università di pavia/articoli/strategie per l'infertilità/nihms964087.pdf","author":[{"dropping-particle":"","family":"Hideshima","given":"Teru","non-dropping-particle":"","parse-names":false,"suffix":""},{"dropping-particle":"","family":"Richardson","given":"Paul G.","non-dropping-particle":"","parse-names":false,"suffix":""},{"dropping-particle":"","family":"Anderson","given":"Kenneth C.","non-dropping-particle":"","parse-names":false,"suffix":""}],"container-title":"Physiology &amp; behavior","id":"ITEM-1","issue":"1","issued":{"date-parts":[["2018"]]},"page":"139-148","title":"</w:instrText>
      </w:r>
      <w:r w:rsidR="00AE4DEC">
        <w:rPr>
          <w:rFonts w:ascii="Microsoft YaHei" w:eastAsia="Microsoft YaHei" w:hAnsi="Microsoft YaHei" w:cs="Microsoft YaHei" w:hint="eastAsia"/>
          <w:color w:val="000000"/>
          <w:sz w:val="20"/>
          <w:szCs w:val="20"/>
          <w:lang w:val="en-US"/>
        </w:rPr>
        <w:instrText>乳鼠心肌提取</w:instrText>
      </w:r>
      <w:r w:rsidR="00AE4DEC">
        <w:rPr>
          <w:rFonts w:ascii="Palatino Linotype" w:hAnsi="Palatino Linotype"/>
          <w:color w:val="000000"/>
          <w:sz w:val="20"/>
          <w:szCs w:val="20"/>
          <w:lang w:val="en-US"/>
        </w:rPr>
        <w:instrText xml:space="preserve"> HHS Public Access","type":"article-journal","volume":"176"},"uris":["http://www.mendeley.com/documents/?uuid=62044e1d-cfd8-40fe-b8f8-1d716fd5b5cb","http://www.mendeley.com/documents/?uuid=ba7d8be2-371c-40a6-a152-b2112ebdc849"]}],"mendeley":{"formattedCitation":"[60]","plainTextFormattedCitation":"[60]","previouslyFormattedCitation":"(60)"},"properties":{"noteIndex":0},"schema":"https://github.com/citation-style-language/schema/raw/master/csl-citation.json"}</w:instrText>
      </w:r>
      <w:r w:rsidRPr="00517F06">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[60]</w:t>
      </w:r>
      <w:r w:rsidRPr="00517F06">
        <w:rPr>
          <w:rFonts w:ascii="Palatino Linotype" w:hAnsi="Palatino Linotype"/>
          <w:color w:val="000000"/>
          <w:sz w:val="20"/>
          <w:szCs w:val="20"/>
          <w:lang w:val="en-US"/>
        </w:rPr>
        <w:fldChar w:fldCharType="end"/>
      </w:r>
      <w:r w:rsidRPr="00517F06">
        <w:rPr>
          <w:rFonts w:ascii="Palatino Linotype" w:hAnsi="Palatino Linotype"/>
          <w:color w:val="000000"/>
          <w:sz w:val="20"/>
          <w:szCs w:val="20"/>
          <w:lang w:val="en-US"/>
        </w:rPr>
        <w:t xml:space="preserve">. </w:t>
      </w:r>
    </w:p>
    <w:p w14:paraId="00DE7DA6" w14:textId="2E9B3792" w:rsidR="00517F06" w:rsidRPr="00475A35" w:rsidRDefault="00517F06" w:rsidP="00B26D18">
      <w:pPr>
        <w:spacing w:after="0" w:line="240" w:lineRule="auto"/>
        <w:ind w:firstLine="720"/>
        <w:jc w:val="both"/>
        <w:rPr>
          <w:rFonts w:ascii="Palatino Linotype" w:hAnsi="Palatino Linotype"/>
          <w:color w:val="000000"/>
          <w:sz w:val="20"/>
          <w:szCs w:val="20"/>
          <w:lang w:val="sv-SE"/>
        </w:rPr>
      </w:pPr>
      <w:r w:rsidRPr="00517F06">
        <w:rPr>
          <w:rFonts w:ascii="Palatino Linotype" w:hAnsi="Palatino Linotype"/>
          <w:color w:val="000000"/>
          <w:sz w:val="20"/>
          <w:szCs w:val="20"/>
          <w:lang w:val="en-US"/>
        </w:rPr>
        <w:t xml:space="preserve">Sebuah studi kasus oleh Beydoun et al. </w:t>
      </w:r>
      <w:r w:rsidRPr="00475A35">
        <w:rPr>
          <w:rFonts w:ascii="Palatino Linotype" w:hAnsi="Palatino Linotype"/>
          <w:color w:val="000000"/>
          <w:sz w:val="20"/>
          <w:szCs w:val="20"/>
          <w:lang w:val="sv-SE"/>
        </w:rPr>
        <w:t xml:space="preserve">(2020) melaporkan tiga pasien anak dengan ES refrakter parah yang diobati dengan bortezomib. Dua pasien mengalami pemulihan dramatis dan berkelanjutan dalam waktu singkat setelah pengobatan, dengan remisi yang bertahan hingga 22 bulan pada satu pasien dan normalisasi jumlah darah dalam beberapa minggu pada pasien lain. Bortezomib mampu meningkatkan jumlah trombosit menjadi &gt;100×10⁹/L dalam dua minggu dan mempertahankan remisi berkepanjangan. Kasus pertama mencapai remisi 22 bulan setelah lima dosis (1,3 mg/m²), dengan pemulihan trombosit dalam 4 hari, dan dosis tambahan saat kambuh mempertahankan jumlah trombosit normal selama lebih dari 7 bulan. Kasus kedua menunjukkan normalisasi parameter darah setelah empat dosis dan remisi lebih dari satu tahun, sedangkan kasus ketiga hanya mengalami perbaikan sementara sebelum memerlukan terapi tambahan. Tidak ada efek samping serius seperti neuropati perifer yang umum pada orang dewasa, konsisten dengan profil keamanan dalam studi pediatrik lainnya. Keunggulan utama bortezomib dibandingkan terapi lain adalah kemampuannya menghindari intervensi dengan morbiditas tinggi seperti splenektomi dan transplantasi sel induk, serta menargetkan sel plasma yang memproduksi antibodi tanpa bergantung pada ekspresi CD20. Meskipun demikian, uji klinis lebih lanjut diperlukan untuk memvalidasi kemanjuran dan mengidentifikasi biomarker prediktif </w:t>
      </w:r>
      <w:r w:rsidRPr="00517F06">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{"citationItems":[{"id":"ITEM-1","itemData":{"DOI":"10.1002/pbc.28725","ISSN":"15455017","PMID":"32969165","abstract":"Treatment of refractory Evans syndrome (ES) remains a challenge in hematology practice. Due to rarity of this condition, evidence-based approaches are limited and often treatment choices stem from small case series or anecdotal experiences. There is mounting evidence that some patients have genetic defects that could be targeted with promising preliminary results. Here, we describe three very refractory pediatric ES cases treated on bortezomib without adverse effects. Two of the three patients had dramatic and long-lasting recovery that started following the initial doses of the drug. Clinical trials to assess the role of bortezomib in ES treatment are warranted.","author":[{"dropping-particle":"","family":"Beydoun","given":"Serina B.","non-dropping-particle":"","parse-names":false,"suffix":""},{"dropping-particle":"","family":"Persaud","given":"Yogindra","non-dropping-particle":"","parse-names":false,"suffix":""},{"dropping-particle":"","family":"Lafferty","given":"Jennifer","non-dropping-particle":"","parse-names":false,"suffix":""},{"dropping-particle":"","family":"Callaghan","given":"Michael U.","non-dropping-particle":"","parse-names":false,"suffix":""},{"dropping-particle":"","family":"Savaşan","given":"Süreyya","non-dropping-particle":"","parse-names":false,"suffix":""}],"container-title":"Pediatric Blood and Cancer","id":"ITEM-1","issue":"12","issued":{"date-parts":[["2020"]]},"page":"8-11","title":"Bortezomib treatment of steroid-refractory Evans syndrome in children","type":"article-journal","volume":"67"},"uris":["http://www.mendeley.com/documents/?uuid=23f7f2a5-8ee2-454e-9bb4-745299da09bc","http://www.mendeley.com/documents/?uuid=7dd2b20a-33d1-494a-b359-37e561bc548b"]}],"mendeley":{"formattedCitation":"[59]","plainTextFormattedCitation":"[59]","previouslyFormattedCitation":"(59)"},"properties":{"noteIndex":0},"schema":"https://github.com/citation-style-language/schema/raw/master/csl-citation.json"}</w:instrText>
      </w:r>
      <w:r w:rsidRPr="00517F06">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[59]</w:t>
      </w:r>
      <w:r w:rsidRPr="00517F06">
        <w:rPr>
          <w:rFonts w:ascii="Palatino Linotype" w:hAnsi="Palatino Linotype"/>
          <w:color w:val="000000"/>
          <w:sz w:val="20"/>
          <w:szCs w:val="20"/>
          <w:lang w:val="en-US"/>
        </w:rPr>
        <w:fldChar w:fldCharType="end"/>
      </w:r>
      <w:r w:rsidRPr="00475A35">
        <w:rPr>
          <w:rFonts w:ascii="Palatino Linotype" w:hAnsi="Palatino Linotype"/>
          <w:color w:val="000000"/>
          <w:sz w:val="20"/>
          <w:szCs w:val="20"/>
          <w:lang w:val="sv-SE"/>
        </w:rPr>
        <w:t>.</w:t>
      </w:r>
    </w:p>
    <w:p w14:paraId="7EB259E8" w14:textId="53B7F135" w:rsidR="00517F06" w:rsidRPr="00475A35" w:rsidRDefault="00517F06" w:rsidP="00B26D18">
      <w:pPr>
        <w:spacing w:after="0" w:line="240" w:lineRule="auto"/>
        <w:ind w:firstLine="720"/>
        <w:jc w:val="both"/>
        <w:rPr>
          <w:rFonts w:ascii="Palatino Linotype" w:hAnsi="Palatino Linotype"/>
          <w:color w:val="000000"/>
          <w:sz w:val="20"/>
          <w:szCs w:val="20"/>
          <w:lang w:val="sv-SE"/>
        </w:rPr>
      </w:pPr>
      <w:r w:rsidRPr="00475A35">
        <w:rPr>
          <w:rFonts w:ascii="Palatino Linotype" w:hAnsi="Palatino Linotype"/>
          <w:color w:val="000000"/>
          <w:sz w:val="20"/>
          <w:szCs w:val="20"/>
          <w:lang w:val="sv-SE"/>
        </w:rPr>
        <w:t xml:space="preserve">Laporan kasus lain melibatkan seorang pria 15 tahun dengan ES dan defisiensi imun variabel umum yang mencapai remisi tahan lama setelah gagal dengan berbagai terapi konvensional, termasuk kortikosteroid, rituximab, mikofenolat mofetil, dan splenektomi. Respons terhadap bortezomib (dosis 1,3 mg/m²) muncul dalam beberapa hari dan berlanjut selama 22 bulan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{"citationItems":[{"id":"ITEM-1","itemData":{"DOI":"10.1097/MPH.0000000000001325","ISSN":"15363678","PMID":"30299351","abstract":"Evans syndrome is defined by bilineal autoimmune cytopenia, typically coombs positive hemolytic anemia and thrombocytopenia. Corticosteroids are the mainstay of treatment, with rituximab and/or mycophenolate mofetil often used in steroid-refractory cases. However, no treatment methodology has ever evaluated by a randomized clinical trial. We present a 15-year-old boy with Evans syndrome and common variable immunodeficiency who experienced a severe, refractory flare 16 months postsplenectomy. After failing to respond to multiple other agents, he achieved a durable response to a bortezomib-based regimen. Bortezomib may be a reasonable second or third line option, especially before high-morbidity therapies such as splenectomy or stem cell transplantation.","author":[{"dropping-particle":"","family":"Knight","given":"Tristan","non-dropping-particle":"","parse-names":false,"suffix":""},{"dropping-particle":"","family":"Ravindranath","given":"Yaddanapudi","non-dropping-particle":"","parse-names":false,"suffix":""},{"dropping-particle":"","family":"Callaghan","given":"Michael U.","non-dropping-particle":"","parse-names":false,"suffix":""}],"container-title":"Journal of Pediatric Hematology/Oncology","id":"ITEM-1","issue":"2","issued":{"date-parts":[["2020"]]},"page":"E110-E113","title":"Successful Treatment of an Adolescent Male with Severe Refractory Evans Syndrome Using Bortezomib-based Therapy","type":"article-journal","volume":"42"},"uris":["http://www.mendeley.com/documents/?uuid=c8dfe970-f0e0-4417-8067-868de7345779","http://www.mendeley.com/documents/?uuid=04a83444-f2f8-4647-b59c-ae635359ded2"]}],"mendeley":{"formattedCitation":"[61]","plainTextFormattedCitation":"[61]","previouslyFormattedCitation":"(61)"},"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[61]</w:t>
      </w:r>
      <w:r>
        <w:rPr>
          <w:rFonts w:ascii="Palatino Linotype" w:hAnsi="Palatino Linotype"/>
          <w:color w:val="000000"/>
          <w:sz w:val="20"/>
          <w:szCs w:val="20"/>
          <w:lang w:val="en-US"/>
        </w:rPr>
        <w:fldChar w:fldCharType="end"/>
      </w:r>
      <w:r w:rsidRPr="00475A35">
        <w:rPr>
          <w:rFonts w:ascii="Palatino Linotype" w:hAnsi="Palatino Linotype"/>
          <w:color w:val="000000"/>
          <w:sz w:val="20"/>
          <w:szCs w:val="20"/>
          <w:lang w:val="sv-SE"/>
        </w:rPr>
        <w:t xml:space="preserve">. Kasus lain oleh Olga et al. (2019) pada pasien pria 32 tahun dengan ES kambuh, lupus eritematosus sistemik (SLE), dan sindrom antifosfolipid sekunder (APS) yang gagal dengan terapi imunosupresif konvensional berhasil diobati dengan kombinasi bortezomib dan plasma exchange. Bortezomib menargetkan sel plasma yang menghasilkan autoantibodi, kunci dalam ES dan SLE, serta terbukti menurunkan kadar imunoglobulin dan autoantibodi, memperbaiki nefritis lupus dan AIHA. Obat ini umumnya dapat ditoleransi dengan baik, dengan neuropati perifer sebagai efek samping paling umum yang biasanya dapat dipulihkan dengan penyesuaian dosis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{"citationItems":[{"id":"ITEM-1","itemData":{"DOI":"10.1016/j.clim.2018.12.010","ISSN":"15217035","PMID":"30543928","abstract":"Relapsing Evans syndrome (ES) and systemic lupus erythematosus (SLE) with secondary antiphospholipid syndrome (APS) is very rare association. Coexistence of these syndromes is potentially fatal and require high-dose combined immunosuppressive therapy. We describe a case of successful use of Bortezomib and plasma exchange in a patient with ES and APS refractory to standard therapy. Thirty-two-year-old male who presented episodes of relapsing hemolytic anemia, pancytopenia and multiple thrombosis with positive direct and indirect antiglobulin test result, lupus anticoagulant and medium titer of anti-beta-2-glycoprotein 1 and anti-cardiolipin antibodies was diagnosed with ES and SLE with secondary APS. High-dose therapy by steroids and Cyclosporin A were started with temporary improvement. There was also no stable improvement with Rituximab and Cyclophosphamide. Bortezomib in combination with cyclosporine A and plasma exchange was introduced. He had stable improvement in hematological parameters with no evidence of relapse of hemolytic crisis or thrombosis during a follow-up for 1 year.","author":[{"dropping-particle":"","family":"Tkachenko","given":"Olga","non-dropping-particle":"","parse-names":false,"suffix":""},{"dropping-particle":"","family":"Lapin","given":"Sergey","non-dropping-particle":"","parse-names":false,"suffix":""},{"dropping-particle":"","family":"Maslyansky","given":"Alexey","non-dropping-particle":"","parse-names":false,"suffix":""},{"dropping-particle":"","family":"Myachikova","given":"Valentina","non-dropping-particle":"","parse-names":false,"suffix":""},{"dropping-particle":"","family":"Mikhailova","given":"Liya","non-dropping-particle":"","parse-names":false,"suffix":""},{"dropping-particle":"","family":"Gilburd","given":"Boris","non-dropping-particle":"","parse-names":false,"suffix":""}],"container-title":"Clinical Immunology","id":"ITEM-1","issued":{"date-parts":[["2019"]]},"page":"44-46","publisher":"Elsevier Inc","title":"Relapsing Evans syndrome and systemic lupus erythematosus with antiphospholipid syndrome treated with Bortezomib in combination with plasma exchange","type":"article-journal","volume":"199"},"uris":["http://www.mendeley.com/documents/?uuid=59f672bf-d5a8-49ee-a515-317ffe0bafbe","http://www.mendeley.com/documents/?uuid=dee66051-cd6e-45ab-9156-0b4b1dc2ac92"]}],"mendeley":{"formattedCitation":"[62]","plainTextFormattedCitation":"[62]","previouslyFormattedCitation":"(62)"},"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[62]</w:t>
      </w:r>
      <w:r>
        <w:rPr>
          <w:rFonts w:ascii="Palatino Linotype" w:hAnsi="Palatino Linotype"/>
          <w:color w:val="000000"/>
          <w:sz w:val="20"/>
          <w:szCs w:val="20"/>
          <w:lang w:val="en-US"/>
        </w:rPr>
        <w:fldChar w:fldCharType="end"/>
      </w:r>
      <w:r w:rsidRPr="00475A35">
        <w:rPr>
          <w:rFonts w:ascii="Palatino Linotype" w:hAnsi="Palatino Linotype"/>
          <w:color w:val="000000"/>
          <w:sz w:val="20"/>
          <w:szCs w:val="20"/>
          <w:lang w:val="sv-SE"/>
        </w:rPr>
        <w:t xml:space="preserve">. Secara farmakokinetik, bortezomib mengikuti model dua kompartemen dengan fase distribusi cepat (waktu paruh &lt;10 menit) dan fase eliminasi panjang (waktu paruh &gt;40 jam). Obat ini memiliki penetrasi jaringan luas, dimetabolisme terutama oleh enzim sitokrom P450 hati, sehingga memerlukan penyesuaian dosis pada gangguan fungsi hati, sementara fungsi ginjal tidak berpengaruh signifikan. Bortezomib dapat diberikan secara intravena atau subkutan dengan profil farmakodinamik yang setara, biasanya dalam siklus dua kali seminggu diikuti periode istirahat. Efek samping umum meliputi neuropati perifer (dapat dipulihkan dengan penyesuaian dosis), trombositopenia, dan neutropenia. Toksisitas jarang termasuk hipotensi, gagal jantung kongestif, penyakit paru, dan sindrom leukoensefalopati posterior reversibel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{"citationItems":[{"id":"ITEM-1","itemData":{"DOI":"10.1177/20406207211046428","ISSN":"20406215","abstract":"Bortezomib is a first-in-class, potent, selective and reversible proteasome inhibitor approved for the treatment of multiple myeloma (MM) and relapsed/refractory mantle cell lymphoma. In these diseases, bortezomib targets plasma cells and lymphocytes reducing tumor burden. Recently, preclinical evidence highlighted its efficacy in reducing long-lived plasma cells responsible of autoantibodies production in several models of autoimmune conditions. These findings paved the way to a number of experiences of bortezomib use in patients with various autoimmune conditions, including autoimmune hemolytic anemia (AIHA). The latter is a nice model of autoimmunity in hematology and is caused by the production of autoantibodies against erythrocytes resulting in various degrees of hemolytic anemia. AIHA is classified in warm and cold forms according to the thermal characteristics of the autoantibody, and first-line treatment mainly relies on steroids for warm cases and the anti-CD20 rituximab for cold ones. Relapsed/refractory cases are still an unmet need, and bortezomib has been proposed in this setting with intriguing efficacy. In this review, we collected available literature on bortezomib use in AIHA and in other immune-mediated hematologic and non-hematologic diseases. Overall, most experiences highlight bortezomib efficacy even in multi-relapsed/refractory patients and suggest to consider its use in AIHA after rituximab failure.","author":[{"dropping-particle":"","family":"Pasquale","given":"Raffaella","non-dropping-particle":"","parse-names":false,"suffix":""},{"dropping-particle":"","family":"Giannotta","given":"Juri Alessandro","non-dropping-particle":"","parse-names":false,"suffix":""},{"dropping-particle":"","family":"Barcellini","given":"Wilma","non-dropping-particle":"","parse-names":false,"suffix":""},{"dropping-particle":"","family":"Fattizzo","given":"Bruno","non-dropping-particle":"","parse-names":false,"suffix":""}],"container-title":"Therapeutic Advances in Hematology","id":"ITEM-1","issued":{"date-parts":[["2021"]]},"page":"1-19","title":"Bortezomib in autoimmune hemolytic anemia and beyond","type":"article-journal","volume":"12"},"uris":["http://www.mendeley.com/documents/?uuid=35312a7b-0419-48e4-8666-f5925fd706db","http://www.mendeley.com/documents/?uuid=4d768caf-1d8c-4fdf-aaf6-5e4a1bf68d00"]}],"mendeley":{"formattedCitation":"[63]","plainTextFormattedCitation":"[63]","previouslyFormattedCitation":"(63)"},"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[63]</w:t>
      </w:r>
      <w:r>
        <w:rPr>
          <w:rFonts w:ascii="Palatino Linotype" w:hAnsi="Palatino Linotype"/>
          <w:color w:val="000000"/>
          <w:sz w:val="20"/>
          <w:szCs w:val="20"/>
          <w:lang w:val="en-US"/>
        </w:rPr>
        <w:fldChar w:fldCharType="end"/>
      </w:r>
      <w:r w:rsidRPr="00475A35">
        <w:rPr>
          <w:rFonts w:ascii="Palatino Linotype" w:hAnsi="Palatino Linotype"/>
          <w:color w:val="000000"/>
          <w:sz w:val="20"/>
          <w:szCs w:val="20"/>
          <w:lang w:val="sv-SE"/>
        </w:rPr>
        <w:t xml:space="preserve">. Keberhasilan bortezomib </w:t>
      </w:r>
      <w:r w:rsidRPr="00475A35">
        <w:rPr>
          <w:rFonts w:ascii="Palatino Linotype" w:hAnsi="Palatino Linotype"/>
          <w:color w:val="000000"/>
          <w:sz w:val="20"/>
          <w:szCs w:val="20"/>
          <w:lang w:val="sv-SE"/>
        </w:rPr>
        <w:lastRenderedPageBreak/>
        <w:t>dalam terapi ES menegaskan perlunya uji klinis acak lebih lanjut untuk mengoptimalkan manajemen penyakit ini. Hingga kini, bortezomib tetap menjadi pilihan yang layak bagi pasien ES yang resistan terhadap steroid, dengan profil keamanan yang lebih baik dibandingkan imunosupresan tradisional.</w:t>
      </w:r>
    </w:p>
    <w:p w14:paraId="24298794" w14:textId="470F4595" w:rsidR="00F144B5" w:rsidRDefault="00F144B5" w:rsidP="00F144B5">
      <w:pPr>
        <w:pStyle w:val="ListParagraph"/>
        <w:numPr>
          <w:ilvl w:val="0"/>
          <w:numId w:val="47"/>
        </w:num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t>Zanubrutinib</w:t>
      </w:r>
    </w:p>
    <w:p w14:paraId="08B7C4C4" w14:textId="6D12255E" w:rsidR="00517F06" w:rsidRDefault="00517F06" w:rsidP="00B26D18">
      <w:pPr>
        <w:spacing w:after="0" w:line="240" w:lineRule="auto"/>
        <w:ind w:firstLine="720"/>
        <w:jc w:val="both"/>
        <w:rPr>
          <w:rFonts w:ascii="Palatino Linotype" w:hAnsi="Palatino Linotype"/>
          <w:color w:val="000000"/>
          <w:sz w:val="20"/>
          <w:szCs w:val="20"/>
          <w:lang w:val="en-US"/>
        </w:rPr>
      </w:pPr>
      <w:r w:rsidRPr="00517F06">
        <w:rPr>
          <w:rFonts w:ascii="Palatino Linotype" w:hAnsi="Palatino Linotype"/>
          <w:color w:val="000000"/>
          <w:sz w:val="20"/>
          <w:szCs w:val="20"/>
          <w:lang w:val="en-US"/>
        </w:rPr>
        <w:t>Zanubrutinib adalah penghambat tirosin kinase Bruton (BTK) generasi kedua yang bersifat ireversibel, dengan aktivitas yang lebih kuat dan selektivitas lebih tinggi terhadap BTK dibandingkan penghambat generasi pertama seperti ibrutinib, serta menimbulkan efek samping yang lebih sedikit. BTK berperan penting dalam pensinyalan reseptor sel B dan terlibat dalam penyakit autoimun dengan mendorong transformasi sel B menjadi sel yang reaktif terhadap diri sendiri. Penghambat BTK, termasuk zanubrutinib, sedang dieksplorasi untuk pengobatan kondisi autoimun seperti anemia hemolitik autoimun tipe hangat (wAIHA) dan sindrom Evans, terutama pada kasus yang refrakter terhadap terapi standar seperti glukokortikoid. Obat ini sangat berguna dalam mengatasi trombositopenia yang refrakter atau relaps. Dalam sebuah studi kasus, seorang gadis Tionghoa berusia 15 tahun dengan sindrom Evans yang sangat sulit diobati berhasil mencapai remisi setelah menerima zanubrutinib, yang bekerja dengan menargetkan jalur aktivasi sel B yang berperan penting dalam patofisiologi penyakit autoimun tersebut. Zanubrutinib juga memiliki bioavailabilitas lebih tinggi dan paparan terapi yang berkelanjutan pada dosis yang disetujui (160 mg dua kali sehari atau 320 mg sekali sehari), sehingga mendukung penggunaannya pada keganasan sel B seperti limfoma sel mantel dan leukemia limfositik kronis. Obat ini mampu meningkatkan jumlah trombosit dan hemoglobin secara signifikan tanpa menimbulkan efek samping serius, menandai kemajuan penting dalam terapi sindrom Evans yang sebelumnya sulit diatasi. Saat ini, uji klinis fase II sedang berlangsung untuk mengevaluasi keamanan dan efektivitas zanubrutinib pada pasien dengan wAIHA dan sindrom Evans yang refrakter atau relaps, dengan harapan memberikan bukti lebih kuat untuk penggunaan obat ini dalam pengelolaan gangguan hematologi autoimun. Temuan ini membuka peluang baru bagi pengembangan terapi yang lebih efektif dan spesifik berdasarkan pemahaman mendalam terhadap mekanisme penyakit autoimun</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10.1111/bjh.18490","ISSN":"13652141","PMID":"36223900","author":[{"dropping-particle":"","family":"Li","given":"Menguan","non-dropping-particle":"","parse-names":false,"suffix":""},{"dropping-particle":"","family":"Liu","given":"Liu","non-dropping-particle":"","parse-names":false,"suffix":""},{"dropping-particle":"","family":"Ding","given":"Bingjie","non-dropping-particle":"","parse-names":false,"suffix":""},{"dropping-particle":"","family":"Song","given":"Xuewen","non-dropping-particle":"","parse-names":false,"suffix":""},{"dropping-particle":"","family":"Xia","given":"Ao","non-dropping-particle":"","parse-names":false,"suffix":""},{"dropping-particle":"","family":"Han","given":"Yu","non-dropping-particle":"","parse-names":false,"suffix":""},{"dropping-particle":"","family":"Song","given":"Yongping","non-dropping-particle":"","parse-names":false,"suffix":""},{"dropping-particle":"","family":"Wei","given":"Xudong","non-dropping-particle":"","parse-names":false,"suffix":""},{"dropping-particle":"","family":"Zhou","given":"Hu","non-dropping-particle":"","parse-names":false,"suffix":""}],"container-title":"British Journal of Haematology","id":"ITEM-1","issue":"5","issued":{"date-parts":[["2022"]]},"page":"e37-e42","title":"Refractory/relapse thrombocytopenia in a patient with Evans' syndrome successfully treated with zanubrutinib","type":"article-journal","volume":"199"},"uris":["http://www.mendeley.com/documents/?uuid=2b257a16-e7f8-4cb8-b771-75bfefc61333","http://www.mendeley.com/documents/?uuid=2e69ca69-aa9f-4799-b16e-0ee03143668d"]}],"mendeley":{"formattedCitation":"[64]","plainTextFormattedCitation":"[64]","previouslyFormattedCitation":"(64)"},"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[64]</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6CFE021F" w14:textId="1FE27B03" w:rsidR="00517F06" w:rsidRPr="00517F06" w:rsidRDefault="00517F06" w:rsidP="00B26D18">
      <w:pPr>
        <w:spacing w:after="0" w:line="240" w:lineRule="auto"/>
        <w:ind w:firstLine="720"/>
        <w:jc w:val="both"/>
        <w:rPr>
          <w:rFonts w:ascii="Palatino Linotype" w:hAnsi="Palatino Linotype"/>
          <w:color w:val="000000"/>
          <w:sz w:val="20"/>
          <w:szCs w:val="20"/>
          <w:lang w:val="en-US"/>
        </w:rPr>
      </w:pPr>
      <w:r w:rsidRPr="00517F06">
        <w:rPr>
          <w:rFonts w:ascii="Palatino Linotype" w:hAnsi="Palatino Linotype"/>
          <w:color w:val="000000"/>
          <w:sz w:val="20"/>
          <w:szCs w:val="20"/>
          <w:lang w:val="en-US"/>
        </w:rPr>
        <w:t>Selain itu, empat pasien dengan trombositopenia imun primer (ITP) kambuh atau refrakter yang telah menjalani lebih dari empat lini pengobatan, termasuk splenektomi, menunjukkan peningkatan jumlah trombosit yang signifikan setelah pengobatan dengan zanubrutinib. Satu pasien mencapai respons lengkap, dua pasien mengalami respons parsial dengan remisi tahan lama, dan satu pasien mempertahankan remisi selama enam bulan sebelum menghentikan terapi dan kemudian mengalami pendarahan intrakranial fatal. Selama pengobatan tidak ditemukan toksisitas hati atau ginjal yang signifikan, menunjukkan profil keamanan yang baik. Zanubrutinib bekerja dengan menghambat pensinyalan BTK, yang mengurangi produksi autoantibodi oleh sel B dan penghancuran trombosit oleh makrofag melalui reseptor Fcγ. Studi klinis fase II juga menunjukkan bahwa kombinasi zanubrutinib dan eltrombopag memberikan tingkat respons keseluruhan yang lebih tinggi dibandingkan eltrombopag saja pada pasien ITP refrakter, dengan tolerabilitas yang baik dan tanpa penghentian pengobatan akibat efek samping. Zanubrutinib, yang telah disetujui untuk beberapa jenis limfoma, menawarkan harapan terapi baru bagi pasien ITP kambuh atau refrakter dan sedang dievaluasi dalam berbagai uji klinis untuk efektivitas dan keamanannya pada kondisi in</w:t>
      </w:r>
      <w:r>
        <w:rPr>
          <w:rFonts w:ascii="Palatino Linotype" w:hAnsi="Palatino Linotype"/>
          <w:color w:val="000000"/>
          <w:sz w:val="20"/>
          <w:szCs w:val="20"/>
          <w:lang w:val="en-US"/>
        </w:rPr>
        <w:t xml:space="preserve">i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{"citationItems":[{"id":"ITEM-1","itemData":{"DOI":"10.1002/cnr2.70152","ISSN":"25738348","abstract":"Background: Immune thrombocytopenia (ITP) is an acquired autoimmune disease characterised by low platelet count. Treatment discontinuation or heterogeneity in the pathogenesis of ITP heightens the occurrence of relapsed or refractory ITP. Bruton's tyrosine kinase (BTK) has emerged as a promising target for autoimmune disorders. Case: In this case series, we have explored the efficacy and safety of Bruton's tyrosine kinase inhibitors (BTKi) in treating relapsed/refractory ITP, by retrospective analysis of the diagnostic history and efficacy of four patients with relapsed/refractory ITP who attended the Affiliated Cancer Hospital of Zhengzhou University and were treated with BTKi. All four patients received &gt; 4 lines of ITP treatment and did not respond to splenectomy or other interventions before and after treatment with BTK inhibitor. After adjusting to the treatment with BTKi, one patient achieved a complete response, and two patients achieved a partial response. All three patients achieved sustained remission with platelet counts of &gt; 50 × 109/L maintained for 1045, 390 and 334 days, respectively. Another patient died of intracranial haemorrhage due to a decline in the platelet count after discontinuation of the drug, and the duration of sustained remission before discontinuation of the drug was 120 days. Four patients had no significant abnormalities in the functions of the liver and kidney monitored during the treatment period. Conclusion: For patients with relapsed/refractory ITP, BTK inhibitor therapy can be considered as an option, with promising preliminary efficacy and safety. However, more clinical trials are needed to verify the exact data.","author":[{"dropping-particle":"","family":"Ding","given":"Bingjie","non-dropping-particle":"","parse-names":false,"suffix":""},{"dropping-particle":"","family":"Li","given":"Mengjuan","non-dropping-particle":"","parse-names":false,"suffix":""},{"dropping-particle":"","family":"Liu","given":"Liu","non-dropping-particle":"","parse-names":false,"suffix":""},{"dropping-particle":"","family":"Song","given":"Xuewen","non-dropping-particle":"","parse-names":false,"suffix":""},{"dropping-particle":"","family":"Zhang","given":"Yuanyuan","non-dropping-particle":"","parse-names":false,"suffix":""},{"dropping-particle":"","family":"Xia","given":"Ao","non-dropping-particle":"","parse-names":false,"suffix":""},{"dropping-particle":"","family":"Liu","given":"Jingyuan","non-dropping-particle":"","parse-names":false,"suffix":""},{"dropping-particle":"","family":"Zhou","given":"Hu","non-dropping-particle":"","parse-names":false,"suffix":""}],"container-title":"Cancer Reports","id":"ITEM-1","issue":"2","issued":{"date-parts":[["2025"]]},"page":"1-9","title":"A Case Series and Literature Review on Zanubrutinib Therapy for the Treatment of Relapsed/Refractory Immune Thrombocytopenia","type":"article-journal","volume":"8"},"uris":["http://www.mendeley.com/documents/?uuid=f3b54043-225b-4b3a-8a35-81467efe79f4","http://www.mendeley.com/documents/?uuid=9340abdc-fe88-4858-babb-984b682fbf99"]}],"mendeley":{"formattedCitation":"[65]","plainTextFormattedCitation":"[65]","previouslyFormattedCitation":"(65)"},"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[65]</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792A506C" w14:textId="77777777" w:rsidR="00517F06" w:rsidRDefault="00F144B5" w:rsidP="00517F06">
      <w:pPr>
        <w:pStyle w:val="ListParagraph"/>
        <w:numPr>
          <w:ilvl w:val="0"/>
          <w:numId w:val="47"/>
        </w:num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t>Daratumumab</w:t>
      </w:r>
    </w:p>
    <w:p w14:paraId="715D98FD" w14:textId="2AE98B48" w:rsidR="00C74608" w:rsidRDefault="00517F06" w:rsidP="00B26D18">
      <w:pPr>
        <w:spacing w:after="0" w:line="240" w:lineRule="auto"/>
        <w:ind w:firstLine="720"/>
        <w:jc w:val="both"/>
        <w:rPr>
          <w:rFonts w:ascii="Palatino Linotype" w:hAnsi="Palatino Linotype"/>
          <w:color w:val="000000"/>
          <w:sz w:val="20"/>
          <w:szCs w:val="20"/>
          <w:lang w:val="en-US"/>
        </w:rPr>
      </w:pPr>
      <w:r w:rsidRPr="00517F06">
        <w:rPr>
          <w:rFonts w:ascii="Palatino Linotype" w:hAnsi="Palatino Linotype"/>
          <w:color w:val="000000"/>
          <w:sz w:val="20"/>
          <w:szCs w:val="20"/>
          <w:lang w:val="en-US"/>
        </w:rPr>
        <w:t>Daratumumab adalah antibodi monoklonal anti-CD38 yang awalnya dikembangkan untuk pengobatan multiple myeloma, namun kini muncul sebagai pilihan terapi menjanjikan untuk sindrom Evans refrakter, yaitu kondisi yang ditandai dengan anemia hemolitik autoimun (AIHA) dan trombositopenia imun (ITP). Berbagai laporan kasus dan seri pasien kecil menunjukkan efektivitas daratumumab pada individu yang tidak merespons terapi sebelumnya, termasuk rituximab dan splenektomi. Berbeda dengan rituximab yang menargetkan tahap awal sel B, daratumumab secara spesifik menyerang sel plasma jangka panjang yang memproduksi autoantibodi penyebab sitopenia pada sindrom Evans. Mekanisme unik ini menjelaskan keberhasilannya dalam kasus sulit diobati, termasuk pasien pasca transplantasi sel punca alogenik dan pasien multi-refrakter, dengan respons yang tahan lama dan stabilisasi klinis</w:t>
      </w:r>
      <w:r w:rsidR="00C672C9">
        <w:rPr>
          <w:rFonts w:ascii="Palatino Linotype" w:hAnsi="Palatino Linotype"/>
          <w:color w:val="000000"/>
          <w:sz w:val="20"/>
          <w:szCs w:val="20"/>
          <w:lang w:val="en-US"/>
        </w:rPr>
        <w:t xml:space="preserve">. </w:t>
      </w:r>
      <w:r w:rsidR="00C672C9" w:rsidRPr="00C672C9">
        <w:rPr>
          <w:rFonts w:ascii="Palatino Linotype" w:hAnsi="Palatino Linotype"/>
          <w:color w:val="000000"/>
          <w:sz w:val="20"/>
          <w:szCs w:val="20"/>
          <w:lang w:val="en-US"/>
        </w:rPr>
        <w:t xml:space="preserve">Selain itu, daratumumab juga menunjukkan manfaat pada penyakit aglutinasi dingin (cold agglutinin disease/CAD), yaitu anemia hemolitik autoimun langka yang disebabkan oleh autoantibodi IgM yang reaktif terhadap suhu dingin dan seringkali melibatkan gammopati IgM monoklonal serta infiltrasi sumsum tulang limfoid. Terapi lini pertama CAD biasanya menggunakan rituximab, namun beberapa pasien mengalami relaps atau refrakter terhadap terapi tersebut. Daratumumab, sebagai antibodi IgG1κ yang menarget CD38 pada sel plasma dan sel </w:t>
      </w:r>
      <w:r w:rsidR="00C672C9" w:rsidRPr="00C672C9">
        <w:rPr>
          <w:rFonts w:ascii="Palatino Linotype" w:hAnsi="Palatino Linotype"/>
          <w:color w:val="000000"/>
          <w:sz w:val="20"/>
          <w:szCs w:val="20"/>
          <w:lang w:val="en-US"/>
        </w:rPr>
        <w:lastRenderedPageBreak/>
        <w:t>limfoplasmasitik, tidak hanya efektif mengeliminasi sel-sel tersebut tetapi juga memodulasi respons imun melalui pengaruhnya terhadap sitokin imunoregulasi seperti IL-6, IL-10, IL-17, IFN-γ, TNF-α, dan TGF-β</w:t>
      </w:r>
      <w:r w:rsidR="00C672C9">
        <w:rPr>
          <w:rFonts w:ascii="Palatino Linotype" w:hAnsi="Palatino Linotype"/>
          <w:color w:val="000000"/>
          <w:sz w:val="20"/>
          <w:szCs w:val="20"/>
          <w:lang w:val="en-US"/>
        </w:rPr>
        <w:t xml:space="preserve"> </w:t>
      </w:r>
      <w:r w:rsidR="00C672C9">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{"citationItems":[{"id":"ITEM-1","itemData":{"DOI":"10.3389/fimmu.2021.649441","ISSN":"16643224","PMID":"33732266","abstract":"Daratumumab is a monoclonal antibody directed against the transmembrane glycoprotein CD38 expressed on plasma cells and lymphoplasmocytes, with a proven efficacy in multiple myeloma. Here we show its clinical efficacy in a patient with cold agglutinin disease (CAD) relapsed after multiple lines of therapy. CAD is caused by cold reactive autoantibodies that induce complement mediated hemolysis and peripheral circulatory symptoms. The disease is also characterized by the presence of monoclonal IgM gammopathy and of a lymphoid bone marrow infiltration that benefits from B-cell targeting therapies (i.e., rituximab) but also from plasma cell directed therapies, such as proteasome inhibitors. In the patient described, we also show that daratumumab therapy influenced the dynamics of several immunoregulatory cytokine levels (IL-6, IL-10, IL-17, IFN-γ, TNF-α, TGF-β) indicating an immunomodulatory effect of the drug beyond plasma cell depletion. In addition, we provide a literature review on the use of daratumumab in autoimmune conditions, including multi-treated and refractory patients with autoimmune hemolytic anemia (both CAD and warm forms), Evans syndrome (association of autoimmune hemolytic anemia and immune thrombocytopenia) and non-hematologic autoimmune diseases, such as systemic lupus erythematosus and rheumatoid arthritis.","author":[{"dropping-particle":"","family":"Zaninoni","given":"Anna","non-dropping-particle":"","parse-names":false,"suffix":""},{"dropping-particle":"","family":"Giannotta","given":"Juri A.","non-dropping-particle":"","parse-names":false,"suffix":""},{"dropping-particle":"","family":"Gallì","given":"Anna","non-dropping-particle":"","parse-names":false,"suffix":""},{"dropping-particle":"","family":"Artuso","given":"Rosangela","non-dropping-particle":"","parse-names":false,"suffix":""},{"dropping-particle":"","family":"Bianchi","given":"Paola","non-dropping-particle":"","parse-names":false,"suffix":""},{"dropping-particle":"","family":"Malcovati","given":"Luca","non-dropping-particle":"","parse-names":false,"suffix":""},{"dropping-particle":"","family":"Barcellini","given":"Wilma","non-dropping-particle":"","parse-names":false,"suffix":""},{"dropping-particle":"","family":"Fattizzo","given":"Bruno","non-dropping-particle":"","parse-names":false,"suffix":""}],"container-title":"Frontiers in Immunology","id":"ITEM-1","issue":"March","issued":{"date-parts":[["2021"]]},"page":"1-8","title":"The Immunomodulatory Effect and Clinical Efficacy of Daratumumab in a Patient With Cold Agglutinin Disease","type":"article-journal","volume":"12"},"uris":["http://www.mendeley.com/documents/?uuid=bd8dd4c6-432c-41cd-8f7e-970b78b41c52","http://www.mendeley.com/documents/?uuid=24ebe9a9-6ffa-4773-9584-d178c88d7b0b"]}],"mendeley":{"formattedCitation":"[66]","plainTextFormattedCitation":"[66]","previouslyFormattedCitation":"(66)"},"properties":{"noteIndex":0},"schema":"https://github.com/citation-style-language/schema/raw/master/csl-citation.json"}</w:instrText>
      </w:r>
      <w:r w:rsidR="00C672C9">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[66]</w:t>
      </w:r>
      <w:r w:rsidR="00C672C9">
        <w:rPr>
          <w:rFonts w:ascii="Palatino Linotype" w:hAnsi="Palatino Linotype"/>
          <w:color w:val="000000"/>
          <w:sz w:val="20"/>
          <w:szCs w:val="20"/>
          <w:lang w:val="en-US"/>
        </w:rPr>
        <w:fldChar w:fldCharType="end"/>
      </w:r>
      <w:r w:rsidR="00C672C9">
        <w:rPr>
          <w:rFonts w:ascii="Palatino Linotype" w:hAnsi="Palatino Linotype"/>
          <w:color w:val="000000"/>
          <w:sz w:val="20"/>
          <w:szCs w:val="20"/>
          <w:lang w:val="en-US"/>
        </w:rPr>
        <w:t xml:space="preserve">. </w:t>
      </w:r>
    </w:p>
    <w:p w14:paraId="19AAF5E8" w14:textId="44A32DA1" w:rsidR="00C672C9" w:rsidRPr="00B6358B" w:rsidRDefault="00C672C9" w:rsidP="00B26D18">
      <w:pPr>
        <w:spacing w:after="0" w:line="240" w:lineRule="auto"/>
        <w:ind w:firstLine="720"/>
        <w:jc w:val="both"/>
        <w:rPr>
          <w:rFonts w:ascii="Palatino Linotype" w:hAnsi="Palatino Linotype"/>
          <w:color w:val="000000"/>
          <w:sz w:val="20"/>
          <w:szCs w:val="20"/>
          <w:lang w:val="sv-SE"/>
        </w:rPr>
      </w:pPr>
      <w:r w:rsidRPr="00C672C9">
        <w:rPr>
          <w:rFonts w:ascii="Palatino Linotype" w:hAnsi="Palatino Linotype"/>
          <w:color w:val="000000"/>
          <w:sz w:val="20"/>
          <w:szCs w:val="20"/>
          <w:lang w:val="en-US"/>
        </w:rPr>
        <w:t xml:space="preserve">Sebagai terapi monoterapi, daratumumab telah menunjukkan hasil yang menjanjikan sebagai pilihan pengobatan efektif dan dapat ditoleransi dengan baik bagi pasien dengan anemia hemolitik autoimun hangat (wAIHA) dan penyakit aglutinasi dingin (cAIHA) yang resisten terhadap pengobatan sebelumnya. Dalam sebuah studi retrospektif internasional yang melibatkan 19 pasien dewasa dengan riwayat pengobatan berat, daratumumab mencapai tingkat respons keseluruhan sebesar 50% pada pasien wAIHA dan 57% pada pasien cAIHA. </w:t>
      </w:r>
      <w:r w:rsidRPr="00475A35">
        <w:rPr>
          <w:rFonts w:ascii="Palatino Linotype" w:hAnsi="Palatino Linotype"/>
          <w:color w:val="000000"/>
          <w:sz w:val="20"/>
          <w:szCs w:val="20"/>
          <w:lang w:val="sv-SE"/>
        </w:rPr>
        <w:t xml:space="preserve">Durasi respons median sekitar 5,5 bulan, dengan beberapa pasien mempertahankan respons berkelanjutan selama lebih dari 6 hingga 12 bulan. Daratumumab juga efektif memperbaiki hemolisis dan gejala sirkulasi akibat aglutinasi dingin seperti akrosianosis. Efek terapeutik daratumumab berasal dari kemampuannya menarget molekul CD38 yang diekspresikan pada sel plasma yang bertanggung jawab atas sekresi autoantibodi, serta pada sel T yang teraktivasi. Aksi ganda ini menekan sel plasma patogen dan memberikan efek imunomodulator, termasuk pengurangan jumlah sel T CD38+ serta perubahan dalam aktivasi dan proliferasi sel T. Efek imunomodulator ini diduga berkontribusi pada respons klinis yang diamati pada kasus AIHA yang resisten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{"citationItems":[{"id":"ITEM-1","itemData":{"DOI":"10.1182/bloodadvances.2024012585","ISSN":"24739537","PMID":"38507742","abstract":"Autoimmune hemolytic anemia (AIHA) is a rare autoantibody-mediated disease. For steroid and/or rituximab-refractory AIHA, there is no consensus on optimal treatment. Daratumumab, a monoclonal antibody targeting CD38, could be beneficial by suppression of CD38+ plasma cells and thus autoantibody secretion. In addition, because CD38 is also expressed by activated T cells, daratumumab may also act via immunomodulatory effects. We evaluated the efficacy and safety of daratumumab monotherapy in an international retrospective study including 19 adult patients with heavily pretreated refractory AIHA. In warm AIHA (wAIHA, n = 12), overall response was 50% with a median response duration of 5.5 months (range, 2-12), including ongoing response in 2 patients after 6 and 12 months. Of 6 nonresponders, 4 had Evans syndrome. In cold AIHA (cAIHA, n = 7) overall hemoglobin (Hb) response was 57%, with ongoing response in 3 of 7 patients. One additional patient with nonanemic cAIHA was treated for severe acrocyanosis and reached a clinical acrocyanosis response as well as a Hb increase. Of 6 patients with cAIHA with acrocyanosis, 4 had improved symptoms after daratumumab treatment. In 2 patients with wAIHA treated with daratumumab, in whom we prospectively collected blood samples, we found complete CD38+ T-cell depletion after daratumumab, as well as altered T-cell subset differentiation and a severely diminished capacity for cell activation and proliferation. Reappearance of CD38+ T cells coincided with disease relapse in 1 patient. In conclusion, our data show that daratumumab therapy may be a treatment option for refractory AIHA. The observed immunomodulatory effects that may contribute to the clinical response deserve further exploration.","author":[{"dropping-particle":"","family":"Jalink","given":"Marit","non-dropping-particle":"","parse-names":false,"suffix":""},{"dropping-particle":"","family":"Jacobs","given":"Chaja F.","non-dropping-particle":"","parse-names":false,"suffix":""},{"dropping-particle":"","family":"Khwaja","given":"Jahanzaib","non-dropping-particle":"","parse-names":false,"suffix":""},{"dropping-particle":"","family":"Evers","given":"Dorothea","non-dropping-particle":"","parse-names":false,"suffix":""},{"dropping-particle":"","family":"Bruggeman","given":"Coty","non-dropping-particle":"","parse-names":false,"suffix":""},{"dropping-particle":"","family":"Fattizzo","given":"Bruno","non-dropping-particle":"","parse-names":false,"suffix":""},{"dropping-particle":"","family":"Michel","given":"Marc","non-dropping-particle":"","parse-names":false,"suffix":""},{"dropping-particle":"","family":"Crickx","given":"Etienne","non-dropping-particle":"","parse-names":false,"suffix":""},{"dropping-particle":"","family":"Hill","given":"Quentin A.","non-dropping-particle":"","parse-names":false,"suffix":""},{"dropping-particle":"","family":"Jaeger","given":"Ulrich","non-dropping-particle":"","parse-names":false,"suffix":""},{"dropping-particle":"","family":"Kater","given":"Arnon P.","non-dropping-particle":"","parse-names":false,"suffix":""},{"dropping-particle":"","family":"Mäkelburg","given":"Anja B.U.","non-dropping-particle":"","parse-names":false,"suffix":""},{"dropping-particle":"","family":"Breedijk","given":"Anouk","non-dropping-particle":"","parse-names":false,"suffix":""},{"dropping-particle":"","family":"Boekhorst","given":"Peter A.W.","non-dropping-particle":"te","parse-names":false,"suffix":""},{"dropping-particle":"","family":"Hoeks","given":"Marlijn P.A.","non-dropping-particle":"","parse-names":false,"suffix":""},{"dropping-particle":"","family":"Haas","given":"Masja","non-dropping-particle":"de","parse-names":false,"suffix":""},{"dropping-particle":"","family":"D’Sa","given":"Shirley","non-dropping-particle":"","parse-names":false,"suffix":""},{"dropping-particle":"","family":"Vos","given":"Josephine M.I.","non-dropping-particle":"","parse-names":false,"suffix":""}],"container-title":"Blood Advances","id":"ITEM-1","issue":"11","issued":{"date-parts":[["2024"]]},"page":"2622-2634","publisher":"The American Society of Hematology","title":"Daratumumab monotherapy in refractory warm autoimmune hemolytic anemia and cold agglutinin disease","type":"article-journal","volume":"8"},"uris":["http://www.mendeley.com/documents/?uuid=841b3b6c-5bb1-47d6-ae28-b26b06da91d6","http://www.mendeley.com/documents/?uuid=4eadbba5-decc-4098-9890-db5164a60e73"]}],"mendeley":{"formattedCitation":"[67]","plainTextFormattedCitation":"[67]","previouslyFormattedCitation":"(67)"},"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[67]</w:t>
      </w:r>
      <w:r>
        <w:rPr>
          <w:rFonts w:ascii="Palatino Linotype" w:hAnsi="Palatino Linotype"/>
          <w:color w:val="000000"/>
          <w:sz w:val="20"/>
          <w:szCs w:val="20"/>
          <w:lang w:val="en-US"/>
        </w:rPr>
        <w:fldChar w:fldCharType="end"/>
      </w:r>
      <w:r w:rsidRPr="00B6358B">
        <w:rPr>
          <w:rFonts w:ascii="Palatino Linotype" w:hAnsi="Palatino Linotype"/>
          <w:color w:val="000000"/>
          <w:sz w:val="20"/>
          <w:szCs w:val="20"/>
          <w:lang w:val="sv-SE"/>
        </w:rPr>
        <w:t xml:space="preserve">. Meskipun daratumumab menunjukkan potensi signifikan, beberapa pasien, terutama dengan sindrom Evans, </w:t>
      </w:r>
      <w:r w:rsidRPr="00B26D18">
        <w:rPr>
          <w:sz w:val="20"/>
          <w:lang w:val="sv-SE"/>
        </w:rPr>
        <w:t>mungkin</w:t>
      </w:r>
      <w:r w:rsidRPr="00B6358B">
        <w:rPr>
          <w:rFonts w:ascii="Palatino Linotype" w:hAnsi="Palatino Linotype"/>
          <w:color w:val="000000"/>
          <w:sz w:val="20"/>
          <w:szCs w:val="20"/>
          <w:lang w:val="sv-SE"/>
        </w:rPr>
        <w:t xml:space="preserve"> tidak merespons pengobatan ini. Kemungkinan kekambuhan juga tetap ada, yang mungkin disebabkan oleh reconstitusi sel plasma. Oleh karena itu, kombinasi daratumumab dengan terapi lain seperti antibodi anti-CD20 dapat menjadi strategi yang lebih efektif untuk mencegah pembentukan sel plasma autoreaktif baru dan meningkatkan hasil pengobatan.</w:t>
      </w:r>
    </w:p>
    <w:p w14:paraId="1A9F74C1" w14:textId="424172E2" w:rsidR="00BE469C" w:rsidRDefault="00BE469C" w:rsidP="00BE469C">
      <w:pPr>
        <w:pStyle w:val="ListParagraph"/>
        <w:numPr>
          <w:ilvl w:val="0"/>
          <w:numId w:val="47"/>
        </w:numPr>
        <w:spacing w:after="0" w:line="240" w:lineRule="auto"/>
        <w:rPr>
          <w:rFonts w:ascii="Palatino Linotype" w:hAnsi="Palatino Linotype"/>
          <w:b/>
          <w:bCs/>
          <w:color w:val="000000"/>
          <w:sz w:val="20"/>
          <w:szCs w:val="20"/>
          <w:lang w:val="en-US"/>
        </w:rPr>
      </w:pPr>
      <w:r>
        <w:rPr>
          <w:rFonts w:ascii="Palatino Linotype" w:hAnsi="Palatino Linotype"/>
          <w:b/>
          <w:bCs/>
          <w:color w:val="000000"/>
          <w:sz w:val="20"/>
          <w:szCs w:val="20"/>
          <w:lang w:val="en-US"/>
        </w:rPr>
        <w:t>Alemtuzumab</w:t>
      </w:r>
    </w:p>
    <w:p w14:paraId="28015840" w14:textId="0A246173" w:rsidR="00BE469C" w:rsidRDefault="00BE469C" w:rsidP="00B26D18">
      <w:pPr>
        <w:spacing w:after="0" w:line="240" w:lineRule="auto"/>
        <w:ind w:firstLine="720"/>
        <w:jc w:val="both"/>
        <w:rPr>
          <w:rFonts w:ascii="Palatino Linotype" w:hAnsi="Palatino Linotype"/>
          <w:color w:val="000000"/>
          <w:sz w:val="20"/>
          <w:szCs w:val="20"/>
          <w:lang w:val="en-US"/>
        </w:rPr>
      </w:pPr>
      <w:r w:rsidRPr="00BE469C">
        <w:rPr>
          <w:rFonts w:ascii="Palatino Linotype" w:hAnsi="Palatino Linotype"/>
          <w:color w:val="000000"/>
          <w:sz w:val="20"/>
          <w:szCs w:val="20"/>
          <w:lang w:val="en-US"/>
        </w:rPr>
        <w:t xml:space="preserve">Alemtuzumab adalah antibodi monoklonal IgG1 humanisasi yang menargetkan CD52, protein yang </w:t>
      </w:r>
      <w:r w:rsidRPr="00B26D18">
        <w:rPr>
          <w:sz w:val="20"/>
          <w:lang w:val="sv-SE"/>
        </w:rPr>
        <w:t>ditemukan</w:t>
      </w:r>
      <w:r w:rsidRPr="00BE469C">
        <w:rPr>
          <w:rFonts w:ascii="Palatino Linotype" w:hAnsi="Palatino Linotype"/>
          <w:color w:val="000000"/>
          <w:sz w:val="20"/>
          <w:szCs w:val="20"/>
          <w:lang w:val="en-US"/>
        </w:rPr>
        <w:t xml:space="preserve"> pada permukaan limfosit T dan B, monosit, dan eosinofil. Meskipun mekanisme kerjanya belum sepenuhnya dipahami, Alemtuzumab diperkirakan bekerja dengan mengikat CD52, yang menyebabkan penipisan sel-sel yang bersirkulasi dan merepopulasi limfosit. Penipisan ini terjadi melalui sitolisis seluler yang bergantung pada antibodi (ADCC) dan sitolisis yang dimediasi komplemen (CDC). Alemtuzumab disetujui untuk pengobatan leukemia limfositik kronis sel B dan sklerosis multipel relaps-remisi (RRMS), di mana ia mengurangi serangan autoimun pada sistem saraf pusat dengan menipiskan limfosit B dan T</w:t>
      </w:r>
      <w:r>
        <w:rPr>
          <w:rFonts w:ascii="Palatino Linotype" w:hAnsi="Palatino Linotype"/>
          <w:color w:val="000000"/>
          <w:sz w:val="20"/>
          <w:szCs w:val="20"/>
          <w:lang w:val="en-US"/>
        </w:rPr>
        <w:t xml:space="preserve">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en-US"/>
        </w:rPr>
        <w:instrText>ADDIN CSL_CITATION {"citationItems":[{"id":"ITEM-1","itemData":{"DOI":"10.1111/bjh.15070","ISSN":"13652141","PMID":"29270980","author":[{"dropping-particle":"","family":"Gómez-Almaguer","given":"David","non-dropping-particle":"","parse-names":false,"suffix":""},{"dropping-particle":"","family":"Colunga-Pedraza","given":"Perla R.","non-dropping-particle":"","parse-names":false,"suffix":""},{"dropping-particle":"","family":"Gómez-De León","given":"Andrés","non-dropping-particle":"","parse-names":false,"suffix":""},{"dropping-particle":"","family":"Gutiérrez-Aguirre","given":"César H.","non-dropping-particle":"","parse-names":false,"suffix":""},{"dropping-particle":"","family":"Cantú-Rodríguez","given":"Olga G.","non-dropping-particle":"","parse-names":false,"suffix":""},{"dropping-particle":"","family":"Jaime-Pérez","given":"José C.","non-dropping-particle":"","parse-names":false,"suffix":""}],"container-title":"British Journal of Haematology","id":"ITEM-1","issue":"2","issued":{"date-parts":[["2019"]]},"page":"288-290","title":"Eltrombopag, low-dose rituximab, and dexamethasone combination as frontline treatment of newly diagnosed immune thrombocytopaenia","type":"article-journal","volume":"184"},"uris":["http://www.mendeley.com/documents/?uuid=169a0839-b389-4397-b58f-287a35038607","http://www.mendeley.com/documents/?uuid=88ce8498-7394-4d8a-9394-8e587dc7bc62"]}],"mendeley":{"formattedCitation":"[50]","plainTextFormattedCitation":"[50]","previouslyFormattedCitation":"(50)"},"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[50]</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 xml:space="preserve">. </w:t>
      </w:r>
    </w:p>
    <w:p w14:paraId="1FAE02CD" w14:textId="4948C60B" w:rsidR="00BE469C" w:rsidRPr="00475A35" w:rsidRDefault="00BE469C" w:rsidP="00B26D18">
      <w:pPr>
        <w:spacing w:after="0" w:line="240" w:lineRule="auto"/>
        <w:ind w:firstLine="720"/>
        <w:jc w:val="both"/>
        <w:rPr>
          <w:rFonts w:ascii="Palatino Linotype" w:hAnsi="Palatino Linotype"/>
          <w:color w:val="000000"/>
          <w:sz w:val="20"/>
          <w:szCs w:val="20"/>
          <w:lang w:val="sv-SE"/>
        </w:rPr>
      </w:pPr>
      <w:r w:rsidRPr="00BE469C">
        <w:rPr>
          <w:rFonts w:ascii="Palatino Linotype" w:hAnsi="Palatino Linotype"/>
          <w:color w:val="000000"/>
          <w:sz w:val="20"/>
          <w:szCs w:val="20"/>
          <w:lang w:val="en-US"/>
        </w:rPr>
        <w:t xml:space="preserve">Dalam sebuah studi kohort prospektif yang melibatkan 21 pasien dengan sitopenia autoimun, alemtuzumab </w:t>
      </w:r>
      <w:r w:rsidRPr="00B26D18">
        <w:rPr>
          <w:sz w:val="20"/>
          <w:lang w:val="sv-SE"/>
        </w:rPr>
        <w:t>diberikan</w:t>
      </w:r>
      <w:r w:rsidRPr="00BE469C">
        <w:rPr>
          <w:rFonts w:ascii="Palatino Linotype" w:hAnsi="Palatino Linotype"/>
          <w:color w:val="000000"/>
          <w:sz w:val="20"/>
          <w:szCs w:val="20"/>
          <w:lang w:val="en-US"/>
        </w:rPr>
        <w:t xml:space="preserve"> secara intravena dengan dosis 20 mg per hari selama 10 hari. Dari tiga pasien yang mengalami sindrom Evans (ES), dua menunjukkan respons terhadap pengobatan, sedangkan satu pasien hanya mengalami respons sementara. Pasien pertama merespons dalam waktu satu minggu, namun mengalami kekambuhan setelah tiga bulan dan kemudian menjalani pengobatan dengan siklosporin serta siklus kedua alemtuzumab. Pasien kedua menunjukkan respons hanya tiga hari setelah pengobatan, tetapi juga mengalami kekambuhan pada bulan ketiga dan mendapat siklus kedua alemtuzumab; sayangnya, pasien ini meninggal akibat perdarahan otak. </w:t>
      </w:r>
      <w:r w:rsidRPr="00475A35">
        <w:rPr>
          <w:rFonts w:ascii="Palatino Linotype" w:hAnsi="Palatino Linotype"/>
          <w:color w:val="000000"/>
          <w:sz w:val="20"/>
          <w:szCs w:val="20"/>
          <w:lang w:val="sv-SE"/>
        </w:rPr>
        <w:t xml:space="preserve">Pasien ketiga hanya memperoleh respons sementara dan meninggal karena kanker paru-paru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{"citationItems":[{"id":"ITEM-1","itemData":{"DOI":"10.1046/j.1365-2141.2001.03039.x","ISSN":"00071048","PMID":"11564082","abstract":"We describe 21 patients with severe and life-threatening autoimmune cytopenias resistant to standard immunosuppression who were treated with the monoclonal antibody Campath-1H. Four patients had autoimmune neutropenia, four had autoimmune haemolytic anaemia, four had pure red cell aplasia, one had immune thrombocytopenia purpura (ITP), three had autoimmune haemolytic anaemia and ITP (Evan's syndrome), three had autoimmune pancytopenia (ITP, autoimmune neutropenia and autoimmune haemolytic anaemia), one had ITP (associated with acquired Glanzmann's disease) and autoimmune neutropenia, and one had ITP and red cell aplasia. Campath-1H was administered at a dose of 10 mg/d as an intravenous infusion for 10 d. Responses were seen in 15 patients, which were sustained in six. Relapse occurred in eight patients after Campath-1H treatment. Patients entering the study later, received cyclosporine after Campath-1H in an attempt to reduce the incidence of relapse. Three patients received a second course of Campath-1H; all responded but later relapsed. Fourteen patients are alive at a median of 12 months (range 4-61) after Campath-1H. Campath-1H represents an alternative therapeutic option for severe, refractory autoimmune cytopenias.","author":[{"dropping-particle":"","family":"Willis","given":"F.","non-dropping-particle":"","parse-names":false,"suffix":""},{"dropping-particle":"","family":"Marsh","given":"J. C.W.","non-dropping-particle":"","parse-names":false,"suffix":""},{"dropping-particle":"","family":"Bevan","given":"D. H.","non-dropping-particle":"","parse-names":false,"suffix":""},{"dropping-particle":"","family":"Killick","given":"S. B.","non-dropping-particle":"","parse-names":false,"suffix":""},{"dropping-particle":"","family":"Lucas","given":"G.","non-dropping-particle":"","parse-names":false,"suffix":""},{"dropping-particle":"","family":"Griffiths","given":"R.","non-dropping-particle":"","parse-names":false,"suffix":""},{"dropping-particle":"","family":"Ouwehand","given":"W.","non-dropping-particle":"","parse-names":false,"suffix":""},{"dropping-particle":"","family":"Hale","given":"G.","non-dropping-particle":"","parse-names":false,"suffix":""},{"dropping-particle":"","family":"Waldmann","given":"H.","non-dropping-particle":"","parse-names":false,"suffix":""},{"dropping-particle":"","family":"Gordon-Smith","given":"E. C.","non-dropping-particle":"","parse-names":false,"suffix":""}],"container-title":"British Journal of Haematology","id":"ITEM-1","issue":"4","issued":{"date-parts":[["2001"]]},"page":"891-898","title":"The effect of treatment with Campath-1H in patients with autoimmune cytopenias","type":"article-journal","volume":"114"},"uris":["http://www.mendeley.com/documents/?uuid=482672ad-c469-4dad-8ca8-a7280d7e6b3e","http://www.mendeley.com/documents/?uuid=d473b30c-876b-4d2d-a864-c4a6079f844c"]}],"mendeley":{"formattedCitation":"[68]","plainTextFormattedCitation":"[68]","previouslyFormattedCitation":"(68)"},"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[68]</w:t>
      </w:r>
      <w:r>
        <w:rPr>
          <w:rFonts w:ascii="Palatino Linotype" w:hAnsi="Palatino Linotype"/>
          <w:color w:val="000000"/>
          <w:sz w:val="20"/>
          <w:szCs w:val="20"/>
          <w:lang w:val="en-US"/>
        </w:rPr>
        <w:fldChar w:fldCharType="end"/>
      </w:r>
      <w:r w:rsidRPr="00475A35">
        <w:rPr>
          <w:rFonts w:ascii="Palatino Linotype" w:hAnsi="Palatino Linotype"/>
          <w:color w:val="000000"/>
          <w:sz w:val="20"/>
          <w:szCs w:val="20"/>
          <w:lang w:val="sv-SE"/>
        </w:rPr>
        <w:t xml:space="preserve">. </w:t>
      </w:r>
    </w:p>
    <w:p w14:paraId="1F4E3E9C" w14:textId="421325F5" w:rsidR="00BE469C" w:rsidRPr="00475A35" w:rsidRDefault="00BE469C" w:rsidP="00B26D18">
      <w:pPr>
        <w:spacing w:after="0" w:line="240" w:lineRule="auto"/>
        <w:ind w:firstLine="720"/>
        <w:jc w:val="both"/>
        <w:rPr>
          <w:rFonts w:ascii="Palatino Linotype" w:hAnsi="Palatino Linotype"/>
          <w:color w:val="000000"/>
          <w:sz w:val="20"/>
          <w:szCs w:val="20"/>
          <w:lang w:val="sv-SE"/>
        </w:rPr>
      </w:pPr>
      <w:r w:rsidRPr="00475A35">
        <w:rPr>
          <w:rFonts w:ascii="Palatino Linotype" w:hAnsi="Palatino Linotype"/>
          <w:color w:val="000000"/>
          <w:sz w:val="20"/>
          <w:szCs w:val="20"/>
          <w:lang w:val="sv-SE"/>
        </w:rPr>
        <w:t xml:space="preserve">Sebuah laporan kasus lebih lanjut merinci pengalaman seorang pria Kaukasia berusia 53 tahun dengan riwayat ITP sejak usia 19 tahun, yang kemudian didiagnosis dengan ES pada usia 40 tahun. </w:t>
      </w:r>
      <w:r w:rsidRPr="00B26D18">
        <w:rPr>
          <w:sz w:val="20"/>
          <w:lang w:val="sv-SE"/>
        </w:rPr>
        <w:t>Penyakitnya</w:t>
      </w:r>
      <w:r w:rsidRPr="00475A35">
        <w:rPr>
          <w:rFonts w:ascii="Palatino Linotype" w:hAnsi="Palatino Linotype"/>
          <w:color w:val="000000"/>
          <w:sz w:val="20"/>
          <w:szCs w:val="20"/>
          <w:lang w:val="sv-SE"/>
        </w:rPr>
        <w:t xml:space="preserve"> resisten terhadap berbagai terapi konvensional. Pada tahun 2012, pasien mengalami kambuh AIHA dan trombositopenia berat dan diobati dengan alemtuzumab intravena. Terapi ini menghasilkan respons yang signifikan, dengan perbaikan parameter hemolisis dan anemia yang mencapai remisi lengkap dalam 12 minggu. Remisi ini bertahan selama 10 bulan sebelum terjadi relaps ITP. Meskipun ada kekambuhan dan resistensi di kemudian hari, Alemtuzumab memberikan respons lengkap yang bertahan lama pada kasus ES yang sulit diobati ini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{"citationItems":[{"id":"ITEM-1","itemData":{"DOI":"10.1182/blood.v126.23.4542.4542","ISSN":"0006-4971","abstract":"Background:There are limited treatment options for refractory Evans syndrome. After steroids and splenectomy, rituximab has been used w/some success. Alemtuzumab, a humanized monoclonal antibody against CD52, has been reported in small series of autoimmune hemolytic anemia (AIHA), usually in pts w/an underlying B-cell disorder such as CLL, but does not appear to have been reported in Evans syndrome.Methods:Chart review of a single case.Results:A 53 year old Caucasian man was admitted in 12/2012 with severe AIHA and thrombocytopenia. He was originally diagnosed with ITP at age 19, treated with steroids and later a splenectomy, then at age 40 (1999) presented with severe AIHA and thrombocytopenia, and was diagnosed with Evans syndrome. This was refractory to steroids, IVIG, vincristine and cyclophosphamide, but responded to an immunoadsorption column; he relapsed in 2005 and 2007, each time with predominantly isolated severe thrombocytopenia, which was treated successfully each time with weekly x 4 rituximab. He relapsed again in 3/2010, treated again with rituximab w/resolution of thrombocytopenia, but with recurrence of severe AIHA: DAT+ (IgG); hgb nadir 4.8gm/dL; LDH 1916 IU, TBili 10.4 mg/dL (direct bilirubin 1.1); retic count peaked at 52%. The severe anemia was refractory to steroids, IVIG, cyclophosphamide and vincristine (immunoadsorption column no longer available in the U.S.). He was then treated with intravenous alemtuzumab (3mg x 1 day then 10mg x 1 day then 30mg 3x/week x 4 weeks). 3 weeks after starting alemtuzumab there was a response, with improvement in hemolysis parameters (LDH 632, TBili 1.4, retic count 1.6%) and anemia (hgb 8.5, without transfusion support). By 4 weeks there was a complete normalization of hemolysis parameters (LDH 199, Tbili 1.2, retic 1%) and continued hemoglobin improvement (9.1), which normalized by week 12.He remained in remission for 10 months until he developed relapse of ITP in 5/2011, which was refractory to rituximab and was then started on romiplastin in 6/2011, with normalization of platelet counts.He remained in remission until 11/2012 when he developed severe thrombocytopenia (plt=3k), refractory to increasing doses of romiplastin, and then developed severe AIHA in late 12/2012 (hgb nadir 4.5; LDH 1070; retic 26%) with persistent severe thrombocytopenia (plt=2k). He was re-started on alemtuzumab from 12/30/12 to late 1/2013, dosed as before, with near complete resolution of thrombocytopenia (plt incremen…","author":[{"dropping-particle":"","family":"O'Brien","given":"Timothy","non-dropping-particle":"","parse-names":false,"suffix":""}],"container-title":"Blood","id":"ITEM-1","issue":"23","issued":{"date-parts":[["2015"]]},"page":"4542-4542","publisher":"American Society of Hematology","title":"Alemtuzumab for Treatment of Refractory Evans Syndrome","type":"article-journal","volume":"126"},"uris":["http://www.mendeley.com/documents/?uuid=a87247d1-077b-4731-afcf-962516d13ba7","http://www.mendeley.com/documents/?uuid=d29964e1-abf0-409d-98b3-812c36736c0a"]}],"mendeley":{"formattedCitation":"[69]","plainTextFormattedCitation":"[69]","previouslyFormattedCitation":"(69)"},"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[69]</w:t>
      </w:r>
      <w:r>
        <w:rPr>
          <w:rFonts w:ascii="Palatino Linotype" w:hAnsi="Palatino Linotype"/>
          <w:color w:val="000000"/>
          <w:sz w:val="20"/>
          <w:szCs w:val="20"/>
          <w:lang w:val="en-US"/>
        </w:rPr>
        <w:fldChar w:fldCharType="end"/>
      </w:r>
      <w:r w:rsidRPr="00475A35">
        <w:rPr>
          <w:rFonts w:ascii="Palatino Linotype" w:hAnsi="Palatino Linotype"/>
          <w:color w:val="000000"/>
          <w:sz w:val="20"/>
          <w:szCs w:val="20"/>
          <w:lang w:val="sv-SE"/>
        </w:rPr>
        <w:t xml:space="preserve">. </w:t>
      </w:r>
    </w:p>
    <w:p w14:paraId="701A8287" w14:textId="2D5F4134" w:rsidR="00BE469C" w:rsidRPr="00BE469C" w:rsidRDefault="00BE469C" w:rsidP="00B26D18">
      <w:pPr>
        <w:spacing w:after="0" w:line="240" w:lineRule="auto"/>
        <w:ind w:firstLine="720"/>
        <w:jc w:val="both"/>
        <w:rPr>
          <w:rFonts w:ascii="Palatino Linotype" w:hAnsi="Palatino Linotype"/>
          <w:color w:val="000000"/>
          <w:sz w:val="20"/>
          <w:szCs w:val="20"/>
          <w:lang w:val="en-US"/>
        </w:rPr>
      </w:pPr>
      <w:r w:rsidRPr="00475A35">
        <w:rPr>
          <w:rFonts w:ascii="Palatino Linotype" w:hAnsi="Palatino Linotype"/>
          <w:color w:val="000000"/>
          <w:sz w:val="20"/>
          <w:szCs w:val="20"/>
          <w:lang w:val="sv-SE"/>
        </w:rPr>
        <w:t xml:space="preserve">Alemtuzumab, antibodi monoklonal humanisasi yang menargetkan CD52. Alemtuzumab dianggap sebagai </w:t>
      </w:r>
      <w:r w:rsidRPr="00B26D18">
        <w:rPr>
          <w:sz w:val="20"/>
          <w:lang w:val="sv-SE"/>
        </w:rPr>
        <w:t>pilihan</w:t>
      </w:r>
      <w:r w:rsidRPr="00475A35">
        <w:rPr>
          <w:rFonts w:ascii="Palatino Linotype" w:hAnsi="Palatino Linotype"/>
          <w:color w:val="000000"/>
          <w:sz w:val="20"/>
          <w:szCs w:val="20"/>
          <w:lang w:val="sv-SE"/>
        </w:rPr>
        <w:t xml:space="preserve"> lini ketiga pada sindrom Evans setelah steroid, IVIG, rituximab, dan imunosupresan lainnya, bersamaan dengan siklofosfamid atau transplantasi sel induk. Penggunaan alemtuzumab pada Evans syndrome masih terbatas dan sebagian besar berasal dari laporan kasus atau studi retrospektif, sehingga penggunaannya bersifat off-label dan harus dipertimbangkan dengan hati-hati pada kasus yang sulit diobati. Profilaksis antivirus dan antimikroba sangat dianjurkan selama terapi alemtuzumab untuk mengurangi risiko infeksi. Studi kasus ini menunjukkan efek menjanjikan alemtuzumab dengan respons klinis yang signifikan, termasuk perbaikan parameter hemolisis seperti penurunan LDH, bilirubin, dan retikulosit, serta peningkatan kadar hemoglobin dan jumlah trombosit tanpa komplikasi infeksi serius berkat profilaksis ketat. Namun, </w:t>
      </w:r>
      <w:r w:rsidRPr="00475A35">
        <w:rPr>
          <w:rFonts w:ascii="Palatino Linotype" w:hAnsi="Palatino Linotype"/>
          <w:color w:val="000000"/>
          <w:sz w:val="20"/>
          <w:szCs w:val="20"/>
          <w:lang w:val="sv-SE"/>
        </w:rPr>
        <w:lastRenderedPageBreak/>
        <w:t xml:space="preserve">relaps dan resistensi terhadap terapi tetap menjadi tantangan, menunjukkan bahwa meskipun alemtuzumab dapat menjadi opsi terapi efektif pada kasus refractory, pengelolaan jangka panjang memerlukan pendekatan multimodal dan pemantauan yang cermat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{"citationItems":[{"id":"ITEM-1","itemData":{"DOI":"10.1182/blood.v126.23.4542.4542","ISSN":"0006-4971","abstract":"Background:There are limited treatment options for refractory Evans syndrome. After steroids and splenectomy, rituximab has been used w/some success. Alemtuzumab, a humanized monoclonal antibody against CD52, has been reported in small series of autoimmune hemolytic anemia (AIHA), usually in pts w/an underlying B-cell disorder such as CLL, but does not appear to have been reported in Evans syndrome.Methods:Chart review of a single case.Results:A 53 year old Caucasian man was admitted in 12/2012 with severe AIHA and thrombocytopenia. He was originally diagnosed with ITP at age 19, treated with steroids and later a splenectomy, then at age 40 (1999) presented with severe AIHA and thrombocytopenia, and was diagnosed with Evans syndrome. This was refractory to steroids, IVIG, vincristine and cyclophosphamide, but responded to an immunoadsorption column; he relapsed in 2005 and 2007, each time with predominantly isolated severe thrombocytopenia, which was treated successfully each time with weekly x 4 rituximab. He relapsed again in 3/2010, treated again with rituximab w/resolution of thrombocytopenia, but with recurrence of severe AIHA: DAT+ (IgG); hgb nadir 4.8gm/dL; LDH 1916 IU, TBili 10.4 mg/dL (direct bilirubin 1.1); retic count peaked at 52%. The severe anemia was refractory to steroids, IVIG, cyclophosphamide and vincristine (immunoadsorption column no longer available in the U.S.). He was then treated with intravenous alemtuzumab (3mg x 1 day then 10mg x 1 day then 30mg 3x/week x 4 weeks). 3 weeks after starting alemtuzumab there was a response, with improvement in hemolysis parameters (LDH 632, TBili 1.4, retic count 1.6%) and anemia (hgb 8.5, without transfusion support). By 4 weeks there was a complete normalization of hemolysis parameters (LDH 199, Tbili 1.2, retic 1%) and continued hemoglobin improvement (9.1), which normalized by week 12.He remained in remission for 10 months until he developed relapse of ITP in 5/2011, which was refractory to rituximab and was then started on romiplastin in 6/2011, with normalization of platelet counts.He remained in remission until 11/2012 when he developed severe thrombocytopenia (plt=3k), refractory to increasing doses of romiplastin, and then developed severe AIHA in late 12/2012 (hgb nadir 4.5; LDH 1070; retic 26%) with persistent severe thrombocytopenia (plt=2k). He was re-started on alemtuzumab from 12/30/12 to late 1/2013, dosed as before, with near complete resolution of thrombocytopenia (plt incremen…","author":[{"dropping-particle":"","family":"O'Brien","given":"Timothy","non-dropping-particle":"","parse-names":false,"suffix":""}],"container-title":"Blood","id":"ITEM-1","issue":"23","issued":{"date-parts":[["2015"]]},"page":"4542-4542","publisher":"American Society of Hematology","title":"Alemtuzumab for Treatment of Refractory Evans Syndrome","type":"article-journal","volume":"126"},"uris":["http://www.mendeley.com/documents/?uuid=d29964e1-abf0-409d-98b3-812c36736c0a","http://www.mendeley.com/documents/?uuid=a87247d1-077b-4731-afcf-962516d13ba7"]}],"mendeley":{"formattedCitation":"[69]","plainTextFormattedCitation":"[69]","previouslyFormattedCitation":"(69)"},"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en-US"/>
        </w:rPr>
        <w:t>[69]</w:t>
      </w:r>
      <w:r>
        <w:rPr>
          <w:rFonts w:ascii="Palatino Linotype" w:hAnsi="Palatino Linotype"/>
          <w:color w:val="000000"/>
          <w:sz w:val="20"/>
          <w:szCs w:val="20"/>
          <w:lang w:val="en-US"/>
        </w:rPr>
        <w:fldChar w:fldCharType="end"/>
      </w:r>
      <w:r>
        <w:rPr>
          <w:rFonts w:ascii="Palatino Linotype" w:hAnsi="Palatino Linotype"/>
          <w:color w:val="000000"/>
          <w:sz w:val="20"/>
          <w:szCs w:val="20"/>
          <w:lang w:val="en-US"/>
        </w:rPr>
        <w:t>.</w:t>
      </w:r>
    </w:p>
    <w:p w14:paraId="489583DB" w14:textId="1209BCDF" w:rsidR="00BE469C" w:rsidRDefault="00BE469C" w:rsidP="00BE469C">
      <w:pPr>
        <w:pStyle w:val="ListParagraph"/>
        <w:numPr>
          <w:ilvl w:val="0"/>
          <w:numId w:val="47"/>
        </w:numPr>
        <w:spacing w:after="0" w:line="240" w:lineRule="auto"/>
        <w:jc w:val="both"/>
        <w:rPr>
          <w:rFonts w:ascii="Palatino Linotype" w:hAnsi="Palatino Linotype"/>
          <w:b/>
          <w:bCs/>
          <w:color w:val="000000"/>
          <w:sz w:val="20"/>
          <w:szCs w:val="20"/>
          <w:lang w:val="en-US"/>
        </w:rPr>
      </w:pPr>
      <w:r>
        <w:rPr>
          <w:rFonts w:ascii="Palatino Linotype" w:hAnsi="Palatino Linotype"/>
          <w:b/>
          <w:bCs/>
          <w:color w:val="000000"/>
          <w:sz w:val="20"/>
          <w:szCs w:val="20"/>
          <w:lang w:val="en-US"/>
        </w:rPr>
        <w:t>Imunoglobulin anti-D (Anti rHD)</w:t>
      </w:r>
    </w:p>
    <w:p w14:paraId="5679A34F" w14:textId="621464E3" w:rsidR="00671059" w:rsidRPr="00475A35" w:rsidRDefault="00671059" w:rsidP="00B26D18">
      <w:pPr>
        <w:spacing w:after="0" w:line="240" w:lineRule="auto"/>
        <w:ind w:firstLine="720"/>
        <w:jc w:val="both"/>
        <w:rPr>
          <w:rFonts w:ascii="Palatino Linotype" w:hAnsi="Palatino Linotype"/>
          <w:color w:val="000000"/>
          <w:sz w:val="20"/>
          <w:szCs w:val="20"/>
          <w:lang w:val="sv-SE"/>
        </w:rPr>
      </w:pPr>
      <w:r w:rsidRPr="00671059">
        <w:rPr>
          <w:rFonts w:ascii="Palatino Linotype" w:hAnsi="Palatino Linotype"/>
          <w:color w:val="000000"/>
          <w:sz w:val="20"/>
          <w:szCs w:val="20"/>
          <w:lang w:val="en-US"/>
        </w:rPr>
        <w:t xml:space="preserve">Imunoglobulin anti-D (anti-RhD) telah digunakan sebagai pilihan pengobatan pada trombositopenia imun (ITP), yang merupakan salah satu komponen sindrom Evans. </w:t>
      </w:r>
      <w:r w:rsidRPr="00475A35">
        <w:rPr>
          <w:rFonts w:ascii="Palatino Linotype" w:hAnsi="Palatino Linotype"/>
          <w:color w:val="000000"/>
          <w:sz w:val="20"/>
          <w:szCs w:val="20"/>
          <w:lang w:val="sv-SE"/>
        </w:rPr>
        <w:t xml:space="preserve">Namun, peranannya dalam sindrom Evans secara khusus masih kurang jelas dan tampak terbatas. Anti-D bekerja dengan menghambat fagositosis makrofag terhadap trombosit yang dilapisi antibodi, sehingga meningkatkan jumlah trombosit dalam darah. Terapi ini terutama efektif pada pasien Rh-positif yang memiliki limpa utuh, dan umumnya tidak bermanfaat bagi pasien yang telah menjalani splenektomi. Meskipun imunoglobulin anti-D dapat digunakan untuk menunda splenektomi pada kasus purpura trombositopenik imun kronis (ITP), terapi ini tidak secara signifikan mengubah perjalanan penyakit secara keseluruhan dan tidak menggantikan pengobatan lain pada sindrom Evans. Anti-D telah menunjukkan kemanjuran dalam meningkatkan jumlah trombosit dengan cepat pada banyak pasien ITP, dengan tingkat respons sekitar 70-80% pada anak-anak dan orang dewasa Rh-positif. Namun, pada sindrom Evans, yang melibatkan anemia hemolitik autoimun dan trombositopenia imun, respons terhadap anti-D dilaporkan kurang baik, terutama pada kasus yang </w:t>
      </w:r>
      <w:r w:rsidRPr="00B26D18">
        <w:rPr>
          <w:sz w:val="20"/>
          <w:lang w:val="sv-SE"/>
        </w:rPr>
        <w:t>resistan</w:t>
      </w:r>
      <w:r w:rsidRPr="00475A35">
        <w:rPr>
          <w:rFonts w:ascii="Palatino Linotype" w:hAnsi="Palatino Linotype"/>
          <w:color w:val="000000"/>
          <w:sz w:val="20"/>
          <w:szCs w:val="20"/>
          <w:lang w:val="sv-SE"/>
        </w:rPr>
        <w:t xml:space="preserve"> terhadap kortikosteroid dan imunoglobulin intravena (IVIG). Pengobatan lini pertama untuk sindrom Evans adalah kortikosteroid dan IVIG, sedangkan rituximab sering digunakan sebagai terapi lini kedua. Anti-D dapat dipertimbangkan dalam beberapa kasus, tetapi bukan merupakan pengobatan standar atau yang direkomendasikan secara luas untuk sindrom Evans, mengingat kompleksitas penyakit dan komponen hemolitik autoimunnya. Selain itu, penggunaan anti-D terbatas pada pasien Rh-positif dan membawa risiko seperti hemolisis dan anemia </w:t>
      </w:r>
      <w:r>
        <w:rPr>
          <w:rFonts w:ascii="Palatino Linotype" w:hAnsi="Palatino Linotype"/>
          <w:color w:val="000000"/>
          <w:sz w:val="20"/>
          <w:szCs w:val="20"/>
          <w:lang w:val="en-US"/>
        </w:rPr>
        <w:fldChar w:fldCharType="begin" w:fldLock="1"/>
      </w:r>
      <w:r w:rsidR="00AE4DEC">
        <w:rPr>
          <w:rFonts w:ascii="Palatino Linotype" w:hAnsi="Palatino Linotype"/>
          <w:color w:val="000000"/>
          <w:sz w:val="20"/>
          <w:szCs w:val="20"/>
          <w:lang w:val="sv-SE"/>
        </w:rPr>
        <w:instrText>ADDIN CSL_CITATION {"citationItems":[{"id":"ITEM-1","itemData":{"DOI":"10.2147/btt.s3166","ISSN":"11775475","PMID":"19707396","abstract":"Immune thrombocytopenia (ITP) is an acquired bleeding autoimmune disorder characterized by a markedly decreased blood platelet count. The disorder is variable, frequently having an acute onset of limited duration in children and a more chronic course in adults. A number of therapeutic agents have demonstrated efficacy in increasing the platelet counts in both children and adults. Anti-RhD immunoglobulin (anti-D) is one such agent, and has been successfully used in the setting of both acute and chronic immune thrombocytopenia. In this report we review the use of anti-D in the management of ITP. While the FDA-approved dose of 50 mg/kg has documented efficacy in increasing platelet counts in approximately 80% of children and 70% of adults, a higher dose of 75 μg/kg has been shown to result in a more rapid increase in platelet count without a greater reduction in hemoglobin. Anti-D is generally ineffective in patients who have failed splenectomy. Anti-RhD therapy has been shown capable of delaying splenectomy in adult patients, but does not significantly increase the total number of patients in whom the procedure can be avoided. Anti-D therapy appears to inhibit macrophage phagocytosis by a combination of both FcR blockade and inflammatory cytokine inhibition of platelet phagocytosis within the spleen. Anti-RhD treatment is associated with mild to moderate infusion toxicities. Rare life-threatening toxicities such as hemoglobinuria, acute renal failure and disseminated intravascular coagulation have been reported. Recommendations have been proposed to reduce the risk of these complications. Anti-D immunoglobulin can be an effective option for rapidly increasing platelet counts in patients with symptomatic ITP. © 2009 Cheung and Liebman, publisher and licensee Dove Medical Press Ltd.","author":[{"dropping-particle":"","family":"Cheung","given":"Eric","non-dropping-particle":"","parse-names":false,"suffix":""},{"dropping-particle":"","family":"Liebman","given":"Howard A.","non-dropping-particle":"","parse-names":false,"suffix":""}],"container-title":"Biologics: Targets and Therapy","id":"ITEM-1","issued":{"date-parts":[["2009"]]},"page":"57-62","title":"Anti-RhD immunoglobulin in the treatment of immune thrombocytopenia","type":"article-journal","volume":"3"},"uris":["http://www.mendeley.com/documents/?uuid=4646793d-52f9-42c6-be37-29d6eec6f284","http://www.mendeley.com/documents/?uuid=ae0f1339-2d8b-4965-9c33-e62d2d19ff3d"]}],"mendeley":{"formattedCitation":"[70]","plainTextFormattedCitation":"[70]","previouslyFormattedCitation":"(70)"},"properties":{"noteIndex":0},"schema":"https://github.com/citation-style-language/schema/raw/master/csl-citation.json"}</w:instrText>
      </w:r>
      <w:r>
        <w:rPr>
          <w:rFonts w:ascii="Palatino Linotype" w:hAnsi="Palatino Linotype"/>
          <w:color w:val="000000"/>
          <w:sz w:val="20"/>
          <w:szCs w:val="20"/>
          <w:lang w:val="en-US"/>
        </w:rPr>
        <w:fldChar w:fldCharType="separate"/>
      </w:r>
      <w:r w:rsidR="00AE4DEC" w:rsidRPr="00AE4DEC">
        <w:rPr>
          <w:rFonts w:ascii="Palatino Linotype" w:hAnsi="Palatino Linotype"/>
          <w:color w:val="000000"/>
          <w:sz w:val="20"/>
          <w:szCs w:val="20"/>
          <w:lang w:val="sv-SE"/>
        </w:rPr>
        <w:t>[70]</w:t>
      </w:r>
      <w:r>
        <w:rPr>
          <w:rFonts w:ascii="Palatino Linotype" w:hAnsi="Palatino Linotype"/>
          <w:color w:val="000000"/>
          <w:sz w:val="20"/>
          <w:szCs w:val="20"/>
          <w:lang w:val="en-US"/>
        </w:rPr>
        <w:fldChar w:fldCharType="end"/>
      </w:r>
      <w:r w:rsidRPr="00475A35">
        <w:rPr>
          <w:rFonts w:ascii="Palatino Linotype" w:hAnsi="Palatino Linotype"/>
          <w:color w:val="000000"/>
          <w:sz w:val="20"/>
          <w:szCs w:val="20"/>
          <w:lang w:val="sv-SE"/>
        </w:rPr>
        <w:t xml:space="preserve">. </w:t>
      </w:r>
    </w:p>
    <w:p w14:paraId="2B628396" w14:textId="77777777" w:rsidR="0083570B" w:rsidRPr="00475A35" w:rsidRDefault="0083570B" w:rsidP="0083570B">
      <w:pPr>
        <w:pStyle w:val="MDPI51figurecaption"/>
        <w:spacing w:before="0" w:after="0" w:line="240" w:lineRule="auto"/>
        <w:ind w:left="0" w:right="51"/>
        <w:rPr>
          <w:sz w:val="20"/>
          <w:lang w:val="sv-SE"/>
        </w:rPr>
      </w:pPr>
    </w:p>
    <w:p w14:paraId="75EED681" w14:textId="49682F1C" w:rsidR="00671059" w:rsidRPr="00475A35" w:rsidRDefault="00755C38" w:rsidP="00671059">
      <w:pPr>
        <w:pStyle w:val="MDPI51figurecaption"/>
        <w:spacing w:before="0" w:after="0" w:line="240" w:lineRule="auto"/>
        <w:ind w:left="0" w:right="51"/>
        <w:rPr>
          <w:b/>
          <w:bCs/>
          <w:sz w:val="20"/>
          <w:lang w:val="sv-SE"/>
        </w:rPr>
      </w:pPr>
      <w:proofErr w:type="spellStart"/>
      <w:r w:rsidRPr="00475A35">
        <w:rPr>
          <w:b/>
          <w:bCs/>
          <w:sz w:val="20"/>
          <w:lang w:val="sv-SE"/>
        </w:rPr>
        <w:t>Monitoring</w:t>
      </w:r>
      <w:proofErr w:type="spellEnd"/>
      <w:r w:rsidRPr="00475A35">
        <w:rPr>
          <w:b/>
          <w:bCs/>
          <w:sz w:val="20"/>
          <w:lang w:val="sv-SE"/>
        </w:rPr>
        <w:t xml:space="preserve"> Terapi</w:t>
      </w:r>
    </w:p>
    <w:p w14:paraId="20FFA24A" w14:textId="4B6B1328" w:rsidR="00671059" w:rsidRDefault="00671059" w:rsidP="00755C38">
      <w:pPr>
        <w:spacing w:after="0" w:line="240" w:lineRule="auto"/>
        <w:ind w:firstLine="720"/>
        <w:jc w:val="both"/>
        <w:rPr>
          <w:sz w:val="20"/>
          <w:lang w:val="sv-SE"/>
        </w:rPr>
      </w:pPr>
      <w:proofErr w:type="spellStart"/>
      <w:r w:rsidRPr="00475A35">
        <w:rPr>
          <w:sz w:val="20"/>
          <w:lang w:val="sv-SE"/>
        </w:rPr>
        <w:t>Sindrom</w:t>
      </w:r>
      <w:proofErr w:type="spellEnd"/>
      <w:r w:rsidRPr="00475A35">
        <w:rPr>
          <w:sz w:val="20"/>
          <w:lang w:val="sv-SE"/>
        </w:rPr>
        <w:t xml:space="preserve"> Evans (ES) </w:t>
      </w:r>
      <w:proofErr w:type="spellStart"/>
      <w:r w:rsidRPr="00475A35">
        <w:rPr>
          <w:sz w:val="20"/>
          <w:lang w:val="sv-SE"/>
        </w:rPr>
        <w:t>adalah</w:t>
      </w:r>
      <w:proofErr w:type="spellEnd"/>
      <w:r w:rsidRPr="00475A35">
        <w:rPr>
          <w:sz w:val="20"/>
          <w:lang w:val="sv-SE"/>
        </w:rPr>
        <w:t xml:space="preserve"> </w:t>
      </w:r>
      <w:proofErr w:type="spellStart"/>
      <w:r w:rsidRPr="00475A35">
        <w:rPr>
          <w:sz w:val="20"/>
          <w:lang w:val="sv-SE"/>
        </w:rPr>
        <w:t>kelainan</w:t>
      </w:r>
      <w:proofErr w:type="spellEnd"/>
      <w:r w:rsidRPr="00475A35">
        <w:rPr>
          <w:sz w:val="20"/>
          <w:lang w:val="sv-SE"/>
        </w:rPr>
        <w:t xml:space="preserve"> </w:t>
      </w:r>
      <w:proofErr w:type="spellStart"/>
      <w:r w:rsidRPr="00475A35">
        <w:rPr>
          <w:sz w:val="20"/>
          <w:lang w:val="sv-SE"/>
        </w:rPr>
        <w:t>autoimun</w:t>
      </w:r>
      <w:proofErr w:type="spellEnd"/>
      <w:r w:rsidRPr="00475A35">
        <w:rPr>
          <w:sz w:val="20"/>
          <w:lang w:val="sv-SE"/>
        </w:rPr>
        <w:t xml:space="preserve"> </w:t>
      </w:r>
      <w:proofErr w:type="spellStart"/>
      <w:r w:rsidRPr="00475A35">
        <w:rPr>
          <w:sz w:val="20"/>
          <w:lang w:val="sv-SE"/>
        </w:rPr>
        <w:t>langka</w:t>
      </w:r>
      <w:proofErr w:type="spellEnd"/>
      <w:r w:rsidRPr="00475A35">
        <w:rPr>
          <w:sz w:val="20"/>
          <w:lang w:val="sv-SE"/>
        </w:rPr>
        <w:t xml:space="preserve"> yang </w:t>
      </w:r>
      <w:proofErr w:type="spellStart"/>
      <w:r w:rsidRPr="00475A35">
        <w:rPr>
          <w:sz w:val="20"/>
          <w:lang w:val="sv-SE"/>
        </w:rPr>
        <w:t>ditandai</w:t>
      </w:r>
      <w:proofErr w:type="spellEnd"/>
      <w:r w:rsidRPr="00475A35">
        <w:rPr>
          <w:sz w:val="20"/>
          <w:lang w:val="sv-SE"/>
        </w:rPr>
        <w:t xml:space="preserve"> </w:t>
      </w:r>
      <w:proofErr w:type="spellStart"/>
      <w:r w:rsidRPr="00475A35">
        <w:rPr>
          <w:sz w:val="20"/>
          <w:lang w:val="sv-SE"/>
        </w:rPr>
        <w:t>dengan</w:t>
      </w:r>
      <w:proofErr w:type="spellEnd"/>
      <w:r w:rsidRPr="00475A35">
        <w:rPr>
          <w:sz w:val="20"/>
          <w:lang w:val="sv-SE"/>
        </w:rPr>
        <w:t xml:space="preserve"> </w:t>
      </w:r>
      <w:proofErr w:type="spellStart"/>
      <w:r w:rsidRPr="00475A35">
        <w:rPr>
          <w:sz w:val="20"/>
          <w:lang w:val="sv-SE"/>
        </w:rPr>
        <w:t>adanya</w:t>
      </w:r>
      <w:proofErr w:type="spellEnd"/>
      <w:r w:rsidRPr="00475A35">
        <w:rPr>
          <w:sz w:val="20"/>
          <w:lang w:val="sv-SE"/>
        </w:rPr>
        <w:t xml:space="preserve"> </w:t>
      </w:r>
      <w:proofErr w:type="spellStart"/>
      <w:r w:rsidRPr="00475A35">
        <w:rPr>
          <w:sz w:val="20"/>
          <w:lang w:val="sv-SE"/>
        </w:rPr>
        <w:t>anemia</w:t>
      </w:r>
      <w:proofErr w:type="spellEnd"/>
      <w:r w:rsidRPr="00475A35">
        <w:rPr>
          <w:sz w:val="20"/>
          <w:lang w:val="sv-SE"/>
        </w:rPr>
        <w:t xml:space="preserve"> </w:t>
      </w:r>
      <w:proofErr w:type="spellStart"/>
      <w:r w:rsidRPr="00475A35">
        <w:rPr>
          <w:sz w:val="20"/>
          <w:lang w:val="sv-SE"/>
        </w:rPr>
        <w:t>hemolitik</w:t>
      </w:r>
      <w:proofErr w:type="spellEnd"/>
      <w:r w:rsidRPr="00475A35">
        <w:rPr>
          <w:sz w:val="20"/>
          <w:lang w:val="sv-SE"/>
        </w:rPr>
        <w:t xml:space="preserve"> </w:t>
      </w:r>
      <w:proofErr w:type="spellStart"/>
      <w:r w:rsidRPr="00475A35">
        <w:rPr>
          <w:sz w:val="20"/>
          <w:lang w:val="sv-SE"/>
        </w:rPr>
        <w:t>autoimun</w:t>
      </w:r>
      <w:proofErr w:type="spellEnd"/>
      <w:r w:rsidRPr="00475A35">
        <w:rPr>
          <w:sz w:val="20"/>
          <w:lang w:val="sv-SE"/>
        </w:rPr>
        <w:t xml:space="preserve"> (AIHA) </w:t>
      </w:r>
      <w:proofErr w:type="gramStart"/>
      <w:r w:rsidRPr="00475A35">
        <w:rPr>
          <w:sz w:val="20"/>
          <w:lang w:val="sv-SE"/>
        </w:rPr>
        <w:t>dan</w:t>
      </w:r>
      <w:proofErr w:type="gramEnd"/>
      <w:r w:rsidRPr="00475A35">
        <w:rPr>
          <w:sz w:val="20"/>
          <w:lang w:val="sv-SE"/>
        </w:rPr>
        <w:t xml:space="preserve"> </w:t>
      </w:r>
      <w:proofErr w:type="spellStart"/>
      <w:r w:rsidRPr="00475A35">
        <w:rPr>
          <w:sz w:val="20"/>
          <w:lang w:val="sv-SE"/>
        </w:rPr>
        <w:t>trombositopenia</w:t>
      </w:r>
      <w:proofErr w:type="spellEnd"/>
      <w:r w:rsidRPr="00475A35">
        <w:rPr>
          <w:sz w:val="20"/>
          <w:lang w:val="sv-SE"/>
        </w:rPr>
        <w:t xml:space="preserve"> </w:t>
      </w:r>
      <w:proofErr w:type="spellStart"/>
      <w:r w:rsidRPr="00475A35">
        <w:rPr>
          <w:sz w:val="20"/>
          <w:lang w:val="sv-SE"/>
        </w:rPr>
        <w:t>imun</w:t>
      </w:r>
      <w:proofErr w:type="spellEnd"/>
      <w:r w:rsidRPr="00475A35">
        <w:rPr>
          <w:sz w:val="20"/>
          <w:lang w:val="sv-SE"/>
        </w:rPr>
        <w:t xml:space="preserve"> (ITP). </w:t>
      </w:r>
      <w:proofErr w:type="spellStart"/>
      <w:r w:rsidRPr="00475A35">
        <w:rPr>
          <w:sz w:val="20"/>
          <w:lang w:val="sv-SE"/>
        </w:rPr>
        <w:t>Pemantauan</w:t>
      </w:r>
      <w:proofErr w:type="spellEnd"/>
      <w:r w:rsidRPr="00475A35">
        <w:rPr>
          <w:sz w:val="20"/>
          <w:lang w:val="sv-SE"/>
        </w:rPr>
        <w:t xml:space="preserve"> </w:t>
      </w:r>
      <w:proofErr w:type="gramStart"/>
      <w:r w:rsidRPr="00475A35">
        <w:rPr>
          <w:sz w:val="20"/>
          <w:lang w:val="sv-SE"/>
        </w:rPr>
        <w:t>terapi yang</w:t>
      </w:r>
      <w:proofErr w:type="gramEnd"/>
      <w:r w:rsidRPr="00475A35">
        <w:rPr>
          <w:sz w:val="20"/>
          <w:lang w:val="sv-SE"/>
        </w:rPr>
        <w:t xml:space="preserve"> </w:t>
      </w:r>
      <w:proofErr w:type="spellStart"/>
      <w:r w:rsidRPr="00475A35">
        <w:rPr>
          <w:sz w:val="20"/>
          <w:lang w:val="sv-SE"/>
        </w:rPr>
        <w:t>efektif</w:t>
      </w:r>
      <w:proofErr w:type="spellEnd"/>
      <w:r w:rsidRPr="00475A35">
        <w:rPr>
          <w:sz w:val="20"/>
          <w:lang w:val="sv-SE"/>
        </w:rPr>
        <w:t xml:space="preserve"> </w:t>
      </w:r>
      <w:proofErr w:type="spellStart"/>
      <w:r w:rsidRPr="00475A35">
        <w:rPr>
          <w:sz w:val="20"/>
          <w:lang w:val="sv-SE"/>
        </w:rPr>
        <w:t>pada</w:t>
      </w:r>
      <w:proofErr w:type="spellEnd"/>
      <w:r w:rsidRPr="00475A35">
        <w:rPr>
          <w:sz w:val="20"/>
          <w:lang w:val="sv-SE"/>
        </w:rPr>
        <w:t xml:space="preserve"> ES </w:t>
      </w:r>
      <w:proofErr w:type="spellStart"/>
      <w:r w:rsidRPr="00475A35">
        <w:rPr>
          <w:sz w:val="20"/>
          <w:lang w:val="sv-SE"/>
        </w:rPr>
        <w:t>memerlukan</w:t>
      </w:r>
      <w:proofErr w:type="spellEnd"/>
      <w:r w:rsidRPr="00475A35">
        <w:rPr>
          <w:sz w:val="20"/>
          <w:lang w:val="sv-SE"/>
        </w:rPr>
        <w:t xml:space="preserve"> </w:t>
      </w:r>
      <w:proofErr w:type="spellStart"/>
      <w:r w:rsidRPr="00475A35">
        <w:rPr>
          <w:sz w:val="20"/>
          <w:lang w:val="sv-SE"/>
        </w:rPr>
        <w:t>penilaian</w:t>
      </w:r>
      <w:proofErr w:type="spellEnd"/>
      <w:r w:rsidRPr="00475A35">
        <w:rPr>
          <w:sz w:val="20"/>
          <w:lang w:val="sv-SE"/>
        </w:rPr>
        <w:t xml:space="preserve"> </w:t>
      </w:r>
      <w:proofErr w:type="spellStart"/>
      <w:r w:rsidRPr="00475A35">
        <w:rPr>
          <w:sz w:val="20"/>
          <w:lang w:val="sv-SE"/>
        </w:rPr>
        <w:t>klinis</w:t>
      </w:r>
      <w:proofErr w:type="spellEnd"/>
      <w:r w:rsidRPr="00475A35">
        <w:rPr>
          <w:sz w:val="20"/>
          <w:lang w:val="sv-SE"/>
        </w:rPr>
        <w:t xml:space="preserve"> </w:t>
      </w:r>
      <w:proofErr w:type="gramStart"/>
      <w:r w:rsidRPr="00475A35">
        <w:rPr>
          <w:sz w:val="20"/>
          <w:lang w:val="sv-SE"/>
        </w:rPr>
        <w:t>dan laboratorium</w:t>
      </w:r>
      <w:proofErr w:type="gramEnd"/>
      <w:r w:rsidRPr="00475A35">
        <w:rPr>
          <w:sz w:val="20"/>
          <w:lang w:val="sv-SE"/>
        </w:rPr>
        <w:t xml:space="preserve"> yang </w:t>
      </w:r>
      <w:proofErr w:type="spellStart"/>
      <w:r w:rsidRPr="00475A35">
        <w:rPr>
          <w:sz w:val="20"/>
          <w:lang w:val="sv-SE"/>
        </w:rPr>
        <w:t>komprehensif</w:t>
      </w:r>
      <w:proofErr w:type="spellEnd"/>
      <w:r w:rsidRPr="00475A35">
        <w:rPr>
          <w:sz w:val="20"/>
          <w:lang w:val="sv-SE"/>
        </w:rPr>
        <w:t xml:space="preserve"> </w:t>
      </w:r>
      <w:proofErr w:type="spellStart"/>
      <w:r w:rsidRPr="00475A35">
        <w:rPr>
          <w:sz w:val="20"/>
          <w:lang w:val="sv-SE"/>
        </w:rPr>
        <w:t>untuk</w:t>
      </w:r>
      <w:proofErr w:type="spellEnd"/>
      <w:r w:rsidRPr="00475A35">
        <w:rPr>
          <w:sz w:val="20"/>
          <w:lang w:val="sv-SE"/>
        </w:rPr>
        <w:t xml:space="preserve"> </w:t>
      </w:r>
      <w:proofErr w:type="spellStart"/>
      <w:r w:rsidRPr="00475A35">
        <w:rPr>
          <w:sz w:val="20"/>
          <w:lang w:val="sv-SE"/>
        </w:rPr>
        <w:t>mengevaluasi</w:t>
      </w:r>
      <w:proofErr w:type="spellEnd"/>
      <w:r w:rsidRPr="00475A35">
        <w:rPr>
          <w:sz w:val="20"/>
          <w:lang w:val="sv-SE"/>
        </w:rPr>
        <w:t xml:space="preserve"> respons </w:t>
      </w:r>
      <w:proofErr w:type="spellStart"/>
      <w:r w:rsidRPr="00475A35">
        <w:rPr>
          <w:sz w:val="20"/>
          <w:lang w:val="sv-SE"/>
        </w:rPr>
        <w:t>pengobatan</w:t>
      </w:r>
      <w:proofErr w:type="spellEnd"/>
      <w:r w:rsidRPr="00475A35">
        <w:rPr>
          <w:sz w:val="20"/>
          <w:lang w:val="sv-SE"/>
        </w:rPr>
        <w:t xml:space="preserve">, </w:t>
      </w:r>
      <w:proofErr w:type="spellStart"/>
      <w:r w:rsidRPr="00475A35">
        <w:rPr>
          <w:sz w:val="20"/>
          <w:lang w:val="sv-SE"/>
        </w:rPr>
        <w:t>mendeteksi</w:t>
      </w:r>
      <w:proofErr w:type="spellEnd"/>
      <w:r w:rsidRPr="00475A35">
        <w:rPr>
          <w:sz w:val="20"/>
          <w:lang w:val="sv-SE"/>
        </w:rPr>
        <w:t xml:space="preserve"> </w:t>
      </w:r>
      <w:proofErr w:type="spellStart"/>
      <w:r w:rsidRPr="00475A35">
        <w:rPr>
          <w:sz w:val="20"/>
          <w:lang w:val="sv-SE"/>
        </w:rPr>
        <w:t>komplikasi</w:t>
      </w:r>
      <w:proofErr w:type="spellEnd"/>
      <w:r w:rsidRPr="00475A35">
        <w:rPr>
          <w:sz w:val="20"/>
          <w:lang w:val="sv-SE"/>
        </w:rPr>
        <w:t xml:space="preserve">, </w:t>
      </w:r>
      <w:proofErr w:type="gramStart"/>
      <w:r w:rsidRPr="00475A35">
        <w:rPr>
          <w:sz w:val="20"/>
          <w:lang w:val="sv-SE"/>
        </w:rPr>
        <w:t>dan</w:t>
      </w:r>
      <w:proofErr w:type="gramEnd"/>
      <w:r w:rsidRPr="00475A35">
        <w:rPr>
          <w:sz w:val="20"/>
          <w:lang w:val="sv-SE"/>
        </w:rPr>
        <w:t xml:space="preserve"> </w:t>
      </w:r>
      <w:proofErr w:type="spellStart"/>
      <w:r w:rsidRPr="00475A35">
        <w:rPr>
          <w:sz w:val="20"/>
          <w:lang w:val="sv-SE"/>
        </w:rPr>
        <w:t>memandu</w:t>
      </w:r>
      <w:proofErr w:type="spellEnd"/>
      <w:r w:rsidRPr="00475A35">
        <w:rPr>
          <w:sz w:val="20"/>
          <w:lang w:val="sv-SE"/>
        </w:rPr>
        <w:t xml:space="preserve"> </w:t>
      </w:r>
      <w:proofErr w:type="spellStart"/>
      <w:r w:rsidRPr="00475A35">
        <w:rPr>
          <w:sz w:val="20"/>
          <w:lang w:val="sv-SE"/>
        </w:rPr>
        <w:t>manajemen</w:t>
      </w:r>
      <w:proofErr w:type="spellEnd"/>
      <w:r w:rsidRPr="00475A35">
        <w:rPr>
          <w:sz w:val="20"/>
          <w:lang w:val="sv-SE"/>
        </w:rPr>
        <w:t xml:space="preserve"> yang </w:t>
      </w:r>
      <w:proofErr w:type="spellStart"/>
      <w:r w:rsidRPr="00475A35">
        <w:rPr>
          <w:sz w:val="20"/>
          <w:lang w:val="sv-SE"/>
        </w:rPr>
        <w:t>sedang</w:t>
      </w:r>
      <w:proofErr w:type="spellEnd"/>
      <w:r w:rsidRPr="00475A35">
        <w:rPr>
          <w:sz w:val="20"/>
          <w:lang w:val="sv-SE"/>
        </w:rPr>
        <w:t xml:space="preserve"> </w:t>
      </w:r>
      <w:proofErr w:type="spellStart"/>
      <w:r w:rsidRPr="00475A35">
        <w:rPr>
          <w:sz w:val="20"/>
          <w:lang w:val="sv-SE"/>
        </w:rPr>
        <w:t>berlangsung</w:t>
      </w:r>
      <w:proofErr w:type="spellEnd"/>
      <w:r w:rsidRPr="00475A35">
        <w:rPr>
          <w:sz w:val="20"/>
          <w:lang w:val="sv-SE"/>
        </w:rPr>
        <w:t xml:space="preserve">. </w:t>
      </w:r>
      <w:proofErr w:type="spellStart"/>
      <w:r w:rsidRPr="00475A35">
        <w:rPr>
          <w:sz w:val="20"/>
          <w:lang w:val="sv-SE"/>
        </w:rPr>
        <w:t>Secara</w:t>
      </w:r>
      <w:proofErr w:type="spellEnd"/>
      <w:r w:rsidRPr="00475A35">
        <w:rPr>
          <w:sz w:val="20"/>
          <w:lang w:val="sv-SE"/>
        </w:rPr>
        <w:t xml:space="preserve"> </w:t>
      </w:r>
      <w:proofErr w:type="spellStart"/>
      <w:r w:rsidRPr="00475A35">
        <w:rPr>
          <w:sz w:val="20"/>
          <w:lang w:val="sv-SE"/>
        </w:rPr>
        <w:t>klinis</w:t>
      </w:r>
      <w:proofErr w:type="spellEnd"/>
      <w:r w:rsidRPr="00475A35">
        <w:rPr>
          <w:sz w:val="20"/>
          <w:lang w:val="sv-SE"/>
        </w:rPr>
        <w:t xml:space="preserve">, </w:t>
      </w:r>
      <w:proofErr w:type="spellStart"/>
      <w:r w:rsidRPr="00475A35">
        <w:rPr>
          <w:sz w:val="20"/>
          <w:lang w:val="sv-SE"/>
        </w:rPr>
        <w:t>pemantauan</w:t>
      </w:r>
      <w:proofErr w:type="spellEnd"/>
      <w:r w:rsidRPr="00475A35">
        <w:rPr>
          <w:sz w:val="20"/>
          <w:lang w:val="sv-SE"/>
        </w:rPr>
        <w:t xml:space="preserve"> </w:t>
      </w:r>
      <w:proofErr w:type="spellStart"/>
      <w:r w:rsidRPr="00475A35">
        <w:rPr>
          <w:sz w:val="20"/>
          <w:lang w:val="sv-SE"/>
        </w:rPr>
        <w:t>melibatkan</w:t>
      </w:r>
      <w:proofErr w:type="spellEnd"/>
      <w:r w:rsidRPr="00475A35">
        <w:rPr>
          <w:sz w:val="20"/>
          <w:lang w:val="sv-SE"/>
        </w:rPr>
        <w:t xml:space="preserve"> </w:t>
      </w:r>
      <w:proofErr w:type="spellStart"/>
      <w:r w:rsidRPr="00475A35">
        <w:rPr>
          <w:sz w:val="20"/>
          <w:lang w:val="sv-SE"/>
        </w:rPr>
        <w:t>pengamatan</w:t>
      </w:r>
      <w:proofErr w:type="spellEnd"/>
      <w:r w:rsidRPr="00475A35">
        <w:rPr>
          <w:sz w:val="20"/>
          <w:lang w:val="sv-SE"/>
        </w:rPr>
        <w:t xml:space="preserve"> </w:t>
      </w:r>
      <w:proofErr w:type="spellStart"/>
      <w:r w:rsidRPr="00475A35">
        <w:rPr>
          <w:sz w:val="20"/>
          <w:lang w:val="sv-SE"/>
        </w:rPr>
        <w:t>gejala</w:t>
      </w:r>
      <w:proofErr w:type="spellEnd"/>
      <w:r w:rsidRPr="00475A35">
        <w:rPr>
          <w:sz w:val="20"/>
          <w:lang w:val="sv-SE"/>
        </w:rPr>
        <w:t xml:space="preserve"> yang </w:t>
      </w:r>
      <w:proofErr w:type="spellStart"/>
      <w:r w:rsidRPr="00475A35">
        <w:rPr>
          <w:sz w:val="20"/>
          <w:lang w:val="sv-SE"/>
        </w:rPr>
        <w:t>berhubungan</w:t>
      </w:r>
      <w:proofErr w:type="spellEnd"/>
      <w:r w:rsidRPr="00475A35">
        <w:rPr>
          <w:sz w:val="20"/>
          <w:lang w:val="sv-SE"/>
        </w:rPr>
        <w:t xml:space="preserve"> </w:t>
      </w:r>
      <w:proofErr w:type="spellStart"/>
      <w:r w:rsidRPr="00475A35">
        <w:rPr>
          <w:sz w:val="20"/>
          <w:lang w:val="sv-SE"/>
        </w:rPr>
        <w:t>dengan</w:t>
      </w:r>
      <w:proofErr w:type="spellEnd"/>
      <w:r w:rsidRPr="00475A35">
        <w:rPr>
          <w:sz w:val="20"/>
          <w:lang w:val="sv-SE"/>
        </w:rPr>
        <w:t xml:space="preserve"> </w:t>
      </w:r>
      <w:proofErr w:type="spellStart"/>
      <w:r w:rsidRPr="00475A35">
        <w:rPr>
          <w:sz w:val="20"/>
          <w:lang w:val="sv-SE"/>
        </w:rPr>
        <w:t>anemia</w:t>
      </w:r>
      <w:proofErr w:type="spellEnd"/>
      <w:r w:rsidRPr="00475A35">
        <w:rPr>
          <w:sz w:val="20"/>
          <w:lang w:val="sv-SE"/>
        </w:rPr>
        <w:t xml:space="preserve"> </w:t>
      </w:r>
      <w:proofErr w:type="spellStart"/>
      <w:r w:rsidRPr="00475A35">
        <w:rPr>
          <w:sz w:val="20"/>
          <w:lang w:val="sv-SE"/>
        </w:rPr>
        <w:t>seperti</w:t>
      </w:r>
      <w:proofErr w:type="spellEnd"/>
      <w:r w:rsidRPr="00475A35">
        <w:rPr>
          <w:sz w:val="20"/>
          <w:lang w:val="sv-SE"/>
        </w:rPr>
        <w:t xml:space="preserve"> </w:t>
      </w:r>
      <w:proofErr w:type="spellStart"/>
      <w:r w:rsidRPr="00475A35">
        <w:rPr>
          <w:sz w:val="20"/>
          <w:lang w:val="sv-SE"/>
        </w:rPr>
        <w:t>kelelahan</w:t>
      </w:r>
      <w:proofErr w:type="spellEnd"/>
      <w:r w:rsidRPr="00475A35">
        <w:rPr>
          <w:sz w:val="20"/>
          <w:lang w:val="sv-SE"/>
        </w:rPr>
        <w:t xml:space="preserve"> </w:t>
      </w:r>
      <w:proofErr w:type="gramStart"/>
      <w:r w:rsidRPr="00475A35">
        <w:rPr>
          <w:sz w:val="20"/>
          <w:lang w:val="sv-SE"/>
        </w:rPr>
        <w:t>dan</w:t>
      </w:r>
      <w:proofErr w:type="gramEnd"/>
      <w:r w:rsidRPr="00475A35">
        <w:rPr>
          <w:sz w:val="20"/>
          <w:lang w:val="sv-SE"/>
        </w:rPr>
        <w:t xml:space="preserve"> </w:t>
      </w:r>
      <w:proofErr w:type="spellStart"/>
      <w:r w:rsidRPr="00475A35">
        <w:rPr>
          <w:sz w:val="20"/>
          <w:lang w:val="sv-SE"/>
        </w:rPr>
        <w:t>pucat</w:t>
      </w:r>
      <w:proofErr w:type="spellEnd"/>
      <w:r w:rsidRPr="00475A35">
        <w:rPr>
          <w:sz w:val="20"/>
          <w:lang w:val="sv-SE"/>
        </w:rPr>
        <w:t xml:space="preserve">, </w:t>
      </w:r>
      <w:proofErr w:type="spellStart"/>
      <w:r w:rsidRPr="00475A35">
        <w:rPr>
          <w:sz w:val="20"/>
          <w:lang w:val="sv-SE"/>
        </w:rPr>
        <w:t>serta</w:t>
      </w:r>
      <w:proofErr w:type="spellEnd"/>
      <w:r w:rsidRPr="00475A35">
        <w:rPr>
          <w:sz w:val="20"/>
          <w:lang w:val="sv-SE"/>
        </w:rPr>
        <w:t xml:space="preserve"> </w:t>
      </w:r>
      <w:proofErr w:type="spellStart"/>
      <w:r w:rsidRPr="00475A35">
        <w:rPr>
          <w:sz w:val="20"/>
          <w:lang w:val="sv-SE"/>
        </w:rPr>
        <w:t>manifestasi</w:t>
      </w:r>
      <w:proofErr w:type="spellEnd"/>
      <w:r w:rsidRPr="00475A35">
        <w:rPr>
          <w:sz w:val="20"/>
          <w:lang w:val="sv-SE"/>
        </w:rPr>
        <w:t xml:space="preserve"> </w:t>
      </w:r>
      <w:proofErr w:type="spellStart"/>
      <w:r w:rsidRPr="00475A35">
        <w:rPr>
          <w:sz w:val="20"/>
          <w:lang w:val="sv-SE"/>
        </w:rPr>
        <w:t>trombositopenia</w:t>
      </w:r>
      <w:proofErr w:type="spellEnd"/>
      <w:r w:rsidRPr="00475A35">
        <w:rPr>
          <w:sz w:val="20"/>
          <w:lang w:val="sv-SE"/>
        </w:rPr>
        <w:t xml:space="preserve"> </w:t>
      </w:r>
      <w:proofErr w:type="spellStart"/>
      <w:r w:rsidRPr="00475A35">
        <w:rPr>
          <w:sz w:val="20"/>
          <w:lang w:val="sv-SE"/>
        </w:rPr>
        <w:t>seperti</w:t>
      </w:r>
      <w:proofErr w:type="spellEnd"/>
      <w:r w:rsidRPr="00475A35">
        <w:rPr>
          <w:sz w:val="20"/>
          <w:lang w:val="sv-SE"/>
        </w:rPr>
        <w:t xml:space="preserve"> </w:t>
      </w:r>
      <w:proofErr w:type="spellStart"/>
      <w:r w:rsidRPr="00475A35">
        <w:rPr>
          <w:sz w:val="20"/>
          <w:lang w:val="sv-SE"/>
        </w:rPr>
        <w:t>memar</w:t>
      </w:r>
      <w:proofErr w:type="spellEnd"/>
      <w:r w:rsidRPr="00475A35">
        <w:rPr>
          <w:sz w:val="20"/>
          <w:lang w:val="sv-SE"/>
        </w:rPr>
        <w:t xml:space="preserve"> </w:t>
      </w:r>
      <w:proofErr w:type="gramStart"/>
      <w:r w:rsidRPr="00475A35">
        <w:rPr>
          <w:sz w:val="20"/>
          <w:lang w:val="sv-SE"/>
        </w:rPr>
        <w:t>dan</w:t>
      </w:r>
      <w:proofErr w:type="gramEnd"/>
      <w:r w:rsidRPr="00475A35">
        <w:rPr>
          <w:sz w:val="20"/>
          <w:lang w:val="sv-SE"/>
        </w:rPr>
        <w:t xml:space="preserve"> </w:t>
      </w:r>
      <w:proofErr w:type="spellStart"/>
      <w:r w:rsidRPr="00475A35">
        <w:rPr>
          <w:sz w:val="20"/>
          <w:lang w:val="sv-SE"/>
        </w:rPr>
        <w:t>pendarahan</w:t>
      </w:r>
      <w:proofErr w:type="spellEnd"/>
      <w:r w:rsidRPr="00475A35">
        <w:rPr>
          <w:sz w:val="20"/>
          <w:lang w:val="sv-SE"/>
        </w:rPr>
        <w:t xml:space="preserve">. </w:t>
      </w:r>
      <w:proofErr w:type="spellStart"/>
      <w:r w:rsidRPr="00475A35">
        <w:rPr>
          <w:sz w:val="20"/>
          <w:lang w:val="sv-SE"/>
        </w:rPr>
        <w:t>Penting</w:t>
      </w:r>
      <w:proofErr w:type="spellEnd"/>
      <w:r w:rsidRPr="00475A35">
        <w:rPr>
          <w:sz w:val="20"/>
          <w:lang w:val="sv-SE"/>
        </w:rPr>
        <w:t xml:space="preserve"> </w:t>
      </w:r>
      <w:proofErr w:type="spellStart"/>
      <w:r w:rsidRPr="00475A35">
        <w:rPr>
          <w:sz w:val="20"/>
          <w:lang w:val="sv-SE"/>
        </w:rPr>
        <w:t>juga</w:t>
      </w:r>
      <w:proofErr w:type="spellEnd"/>
      <w:r w:rsidRPr="00475A35">
        <w:rPr>
          <w:sz w:val="20"/>
          <w:lang w:val="sv-SE"/>
        </w:rPr>
        <w:t xml:space="preserve"> </w:t>
      </w:r>
      <w:proofErr w:type="spellStart"/>
      <w:r w:rsidRPr="00475A35">
        <w:rPr>
          <w:sz w:val="20"/>
          <w:lang w:val="sv-SE"/>
        </w:rPr>
        <w:t>untuk</w:t>
      </w:r>
      <w:proofErr w:type="spellEnd"/>
      <w:r w:rsidRPr="00475A35">
        <w:rPr>
          <w:sz w:val="20"/>
          <w:lang w:val="sv-SE"/>
        </w:rPr>
        <w:t xml:space="preserve"> </w:t>
      </w:r>
      <w:proofErr w:type="spellStart"/>
      <w:r w:rsidRPr="00475A35">
        <w:rPr>
          <w:sz w:val="20"/>
          <w:lang w:val="sv-SE"/>
        </w:rPr>
        <w:t>memperhatikan</w:t>
      </w:r>
      <w:proofErr w:type="spellEnd"/>
      <w:r w:rsidRPr="00475A35">
        <w:rPr>
          <w:sz w:val="20"/>
          <w:lang w:val="sv-SE"/>
        </w:rPr>
        <w:t xml:space="preserve"> </w:t>
      </w:r>
      <w:proofErr w:type="spellStart"/>
      <w:r w:rsidRPr="00475A35">
        <w:rPr>
          <w:sz w:val="20"/>
          <w:lang w:val="sv-SE"/>
        </w:rPr>
        <w:t>infeksi</w:t>
      </w:r>
      <w:proofErr w:type="spellEnd"/>
      <w:r w:rsidRPr="00475A35">
        <w:rPr>
          <w:sz w:val="20"/>
          <w:lang w:val="sv-SE"/>
        </w:rPr>
        <w:t xml:space="preserve"> </w:t>
      </w:r>
      <w:proofErr w:type="gramStart"/>
      <w:r w:rsidRPr="00475A35">
        <w:rPr>
          <w:sz w:val="20"/>
          <w:lang w:val="sv-SE"/>
        </w:rPr>
        <w:t>dan</w:t>
      </w:r>
      <w:proofErr w:type="gramEnd"/>
      <w:r w:rsidRPr="00475A35">
        <w:rPr>
          <w:sz w:val="20"/>
          <w:lang w:val="sv-SE"/>
        </w:rPr>
        <w:t xml:space="preserve"> </w:t>
      </w:r>
      <w:proofErr w:type="spellStart"/>
      <w:r w:rsidRPr="00475A35">
        <w:rPr>
          <w:sz w:val="20"/>
          <w:lang w:val="sv-SE"/>
        </w:rPr>
        <w:t>kejadian</w:t>
      </w:r>
      <w:proofErr w:type="spellEnd"/>
      <w:r w:rsidRPr="00475A35">
        <w:rPr>
          <w:sz w:val="20"/>
          <w:lang w:val="sv-SE"/>
        </w:rPr>
        <w:t xml:space="preserve"> </w:t>
      </w:r>
      <w:proofErr w:type="spellStart"/>
      <w:r w:rsidRPr="00475A35">
        <w:rPr>
          <w:sz w:val="20"/>
          <w:lang w:val="sv-SE"/>
        </w:rPr>
        <w:t>tromboemboli</w:t>
      </w:r>
      <w:proofErr w:type="spellEnd"/>
      <w:r w:rsidRPr="00475A35">
        <w:rPr>
          <w:sz w:val="20"/>
          <w:lang w:val="sv-SE"/>
        </w:rPr>
        <w:t xml:space="preserve">, </w:t>
      </w:r>
      <w:proofErr w:type="spellStart"/>
      <w:r w:rsidRPr="00475A35">
        <w:rPr>
          <w:sz w:val="20"/>
          <w:lang w:val="sv-SE"/>
        </w:rPr>
        <w:t>komplikasi</w:t>
      </w:r>
      <w:proofErr w:type="spellEnd"/>
      <w:r w:rsidRPr="00475A35">
        <w:rPr>
          <w:sz w:val="20"/>
          <w:lang w:val="sv-SE"/>
        </w:rPr>
        <w:t xml:space="preserve"> </w:t>
      </w:r>
      <w:proofErr w:type="spellStart"/>
      <w:r w:rsidRPr="00475A35">
        <w:rPr>
          <w:sz w:val="20"/>
          <w:lang w:val="sv-SE"/>
        </w:rPr>
        <w:t>umum</w:t>
      </w:r>
      <w:proofErr w:type="spellEnd"/>
      <w:r w:rsidRPr="00475A35">
        <w:rPr>
          <w:sz w:val="20"/>
          <w:lang w:val="sv-SE"/>
        </w:rPr>
        <w:t xml:space="preserve"> </w:t>
      </w:r>
      <w:proofErr w:type="spellStart"/>
      <w:r w:rsidRPr="00475A35">
        <w:rPr>
          <w:sz w:val="20"/>
          <w:lang w:val="sv-SE"/>
        </w:rPr>
        <w:t>akibat</w:t>
      </w:r>
      <w:proofErr w:type="spellEnd"/>
      <w:r w:rsidRPr="00475A35">
        <w:rPr>
          <w:sz w:val="20"/>
          <w:lang w:val="sv-SE"/>
        </w:rPr>
        <w:t xml:space="preserve"> terapi </w:t>
      </w:r>
      <w:proofErr w:type="spellStart"/>
      <w:r w:rsidRPr="00475A35">
        <w:rPr>
          <w:sz w:val="20"/>
          <w:lang w:val="sv-SE"/>
        </w:rPr>
        <w:t>imunosupresif</w:t>
      </w:r>
      <w:proofErr w:type="spellEnd"/>
      <w:r w:rsidRPr="00475A35">
        <w:rPr>
          <w:sz w:val="20"/>
          <w:lang w:val="sv-SE"/>
        </w:rPr>
        <w:t xml:space="preserve"> </w:t>
      </w:r>
      <w:proofErr w:type="gramStart"/>
      <w:r w:rsidRPr="00475A35">
        <w:rPr>
          <w:sz w:val="20"/>
          <w:lang w:val="sv-SE"/>
        </w:rPr>
        <w:t>dan</w:t>
      </w:r>
      <w:proofErr w:type="gramEnd"/>
      <w:r w:rsidRPr="00475A35">
        <w:rPr>
          <w:sz w:val="20"/>
          <w:lang w:val="sv-SE"/>
        </w:rPr>
        <w:t xml:space="preserve"> </w:t>
      </w:r>
      <w:proofErr w:type="spellStart"/>
      <w:r w:rsidRPr="00475A35">
        <w:rPr>
          <w:sz w:val="20"/>
          <w:lang w:val="sv-SE"/>
        </w:rPr>
        <w:t>penyakit</w:t>
      </w:r>
      <w:proofErr w:type="spellEnd"/>
      <w:r w:rsidRPr="00475A35">
        <w:rPr>
          <w:sz w:val="20"/>
          <w:lang w:val="sv-SE"/>
        </w:rPr>
        <w:t xml:space="preserve"> itu </w:t>
      </w:r>
      <w:proofErr w:type="spellStart"/>
      <w:r w:rsidRPr="00475A35">
        <w:rPr>
          <w:sz w:val="20"/>
          <w:lang w:val="sv-SE"/>
        </w:rPr>
        <w:t>sendiri</w:t>
      </w:r>
      <w:proofErr w:type="spellEnd"/>
      <w:r w:rsidRPr="00475A35">
        <w:rPr>
          <w:sz w:val="20"/>
          <w:lang w:val="sv-SE"/>
        </w:rPr>
        <w:t xml:space="preserve">, </w:t>
      </w:r>
      <w:proofErr w:type="spellStart"/>
      <w:r w:rsidRPr="00475A35">
        <w:rPr>
          <w:sz w:val="20"/>
          <w:lang w:val="sv-SE"/>
        </w:rPr>
        <w:t>sambil</w:t>
      </w:r>
      <w:proofErr w:type="spellEnd"/>
      <w:r w:rsidRPr="00475A35">
        <w:rPr>
          <w:sz w:val="20"/>
          <w:lang w:val="sv-SE"/>
        </w:rPr>
        <w:t xml:space="preserve"> </w:t>
      </w:r>
      <w:proofErr w:type="spellStart"/>
      <w:r w:rsidRPr="00475A35">
        <w:rPr>
          <w:sz w:val="20"/>
          <w:lang w:val="sv-SE"/>
        </w:rPr>
        <w:t>menilai</w:t>
      </w:r>
      <w:proofErr w:type="spellEnd"/>
      <w:r w:rsidRPr="00475A35">
        <w:rPr>
          <w:sz w:val="20"/>
          <w:lang w:val="sv-SE"/>
        </w:rPr>
        <w:t xml:space="preserve"> status </w:t>
      </w:r>
      <w:proofErr w:type="spellStart"/>
      <w:r w:rsidRPr="00475A35">
        <w:rPr>
          <w:sz w:val="20"/>
          <w:lang w:val="sv-SE"/>
        </w:rPr>
        <w:t>pasien</w:t>
      </w:r>
      <w:proofErr w:type="spellEnd"/>
      <w:r w:rsidRPr="00475A35">
        <w:rPr>
          <w:sz w:val="20"/>
          <w:lang w:val="sv-SE"/>
        </w:rPr>
        <w:t xml:space="preserve"> </w:t>
      </w:r>
      <w:proofErr w:type="spellStart"/>
      <w:r w:rsidRPr="00475A35">
        <w:rPr>
          <w:sz w:val="20"/>
          <w:lang w:val="sv-SE"/>
        </w:rPr>
        <w:t>secara</w:t>
      </w:r>
      <w:proofErr w:type="spellEnd"/>
      <w:r w:rsidRPr="00475A35">
        <w:rPr>
          <w:sz w:val="20"/>
          <w:lang w:val="sv-SE"/>
        </w:rPr>
        <w:t xml:space="preserve"> </w:t>
      </w:r>
      <w:proofErr w:type="spellStart"/>
      <w:r w:rsidRPr="00475A35">
        <w:rPr>
          <w:sz w:val="20"/>
          <w:lang w:val="sv-SE"/>
        </w:rPr>
        <w:t>keseluruhan</w:t>
      </w:r>
      <w:proofErr w:type="spellEnd"/>
      <w:r w:rsidRPr="00475A35">
        <w:rPr>
          <w:sz w:val="20"/>
          <w:lang w:val="sv-SE"/>
        </w:rPr>
        <w:t xml:space="preserve"> </w:t>
      </w:r>
      <w:proofErr w:type="spellStart"/>
      <w:r w:rsidRPr="00475A35">
        <w:rPr>
          <w:sz w:val="20"/>
          <w:lang w:val="sv-SE"/>
        </w:rPr>
        <w:t>secara</w:t>
      </w:r>
      <w:proofErr w:type="spellEnd"/>
      <w:r w:rsidRPr="00475A35">
        <w:rPr>
          <w:sz w:val="20"/>
          <w:lang w:val="sv-SE"/>
        </w:rPr>
        <w:t xml:space="preserve"> </w:t>
      </w:r>
      <w:proofErr w:type="spellStart"/>
      <w:r w:rsidRPr="00475A35">
        <w:rPr>
          <w:sz w:val="20"/>
          <w:lang w:val="sv-SE"/>
        </w:rPr>
        <w:t>teratur</w:t>
      </w:r>
      <w:proofErr w:type="spellEnd"/>
      <w:r w:rsidRPr="00475A35">
        <w:rPr>
          <w:sz w:val="20"/>
          <w:lang w:val="sv-SE"/>
        </w:rPr>
        <w:t xml:space="preserve"> </w:t>
      </w:r>
      <w:proofErr w:type="spellStart"/>
      <w:r w:rsidRPr="00475A35">
        <w:rPr>
          <w:sz w:val="20"/>
          <w:lang w:val="sv-SE"/>
        </w:rPr>
        <w:t>untuk</w:t>
      </w:r>
      <w:proofErr w:type="spellEnd"/>
      <w:r w:rsidRPr="00475A35">
        <w:rPr>
          <w:sz w:val="20"/>
          <w:lang w:val="sv-SE"/>
        </w:rPr>
        <w:t xml:space="preserve"> </w:t>
      </w:r>
      <w:proofErr w:type="spellStart"/>
      <w:r w:rsidRPr="00475A35">
        <w:rPr>
          <w:sz w:val="20"/>
          <w:lang w:val="sv-SE"/>
        </w:rPr>
        <w:t>mengidentifikasi</w:t>
      </w:r>
      <w:proofErr w:type="spellEnd"/>
      <w:r w:rsidRPr="00475A35">
        <w:rPr>
          <w:sz w:val="20"/>
          <w:lang w:val="sv-SE"/>
        </w:rPr>
        <w:t xml:space="preserve"> </w:t>
      </w:r>
      <w:proofErr w:type="spellStart"/>
      <w:r w:rsidRPr="00475A35">
        <w:rPr>
          <w:sz w:val="20"/>
          <w:lang w:val="sv-SE"/>
        </w:rPr>
        <w:t>kekambuhan</w:t>
      </w:r>
      <w:proofErr w:type="spellEnd"/>
      <w:r w:rsidRPr="00475A35">
        <w:rPr>
          <w:sz w:val="20"/>
          <w:lang w:val="sv-SE"/>
        </w:rPr>
        <w:t xml:space="preserve"> </w:t>
      </w:r>
      <w:proofErr w:type="spellStart"/>
      <w:r w:rsidRPr="00475A35">
        <w:rPr>
          <w:sz w:val="20"/>
          <w:lang w:val="sv-SE"/>
        </w:rPr>
        <w:t>atau</w:t>
      </w:r>
      <w:proofErr w:type="spellEnd"/>
      <w:r w:rsidRPr="00475A35">
        <w:rPr>
          <w:sz w:val="20"/>
          <w:lang w:val="sv-SE"/>
        </w:rPr>
        <w:t xml:space="preserve"> </w:t>
      </w:r>
      <w:proofErr w:type="spellStart"/>
      <w:r w:rsidRPr="00475A35">
        <w:rPr>
          <w:sz w:val="20"/>
          <w:lang w:val="sv-SE"/>
        </w:rPr>
        <w:t>efek</w:t>
      </w:r>
      <w:proofErr w:type="spellEnd"/>
      <w:r w:rsidRPr="00475A35">
        <w:rPr>
          <w:sz w:val="20"/>
          <w:lang w:val="sv-SE"/>
        </w:rPr>
        <w:t xml:space="preserve"> </w:t>
      </w:r>
      <w:proofErr w:type="spellStart"/>
      <w:r w:rsidRPr="00475A35">
        <w:rPr>
          <w:sz w:val="20"/>
          <w:lang w:val="sv-SE"/>
        </w:rPr>
        <w:t>samping</w:t>
      </w:r>
      <w:proofErr w:type="spellEnd"/>
      <w:r w:rsidRPr="00475A35">
        <w:rPr>
          <w:sz w:val="20"/>
          <w:lang w:val="sv-SE"/>
        </w:rPr>
        <w:t xml:space="preserve">. </w:t>
      </w:r>
      <w:proofErr w:type="spellStart"/>
      <w:r w:rsidRPr="00475A35">
        <w:rPr>
          <w:sz w:val="20"/>
          <w:lang w:val="sv-SE"/>
        </w:rPr>
        <w:t>Pemantauan</w:t>
      </w:r>
      <w:proofErr w:type="spellEnd"/>
      <w:r w:rsidRPr="00475A35">
        <w:rPr>
          <w:sz w:val="20"/>
          <w:lang w:val="sv-SE"/>
        </w:rPr>
        <w:t xml:space="preserve"> laboratorium </w:t>
      </w:r>
      <w:proofErr w:type="spellStart"/>
      <w:r w:rsidRPr="00475A35">
        <w:rPr>
          <w:sz w:val="20"/>
          <w:lang w:val="sv-SE"/>
        </w:rPr>
        <w:t>meliputi</w:t>
      </w:r>
      <w:proofErr w:type="spellEnd"/>
      <w:r w:rsidRPr="00475A35">
        <w:rPr>
          <w:sz w:val="20"/>
          <w:lang w:val="sv-SE"/>
        </w:rPr>
        <w:t xml:space="preserve"> </w:t>
      </w:r>
      <w:proofErr w:type="spellStart"/>
      <w:r w:rsidRPr="00475A35">
        <w:rPr>
          <w:sz w:val="20"/>
          <w:lang w:val="sv-SE"/>
        </w:rPr>
        <w:t>hitung</w:t>
      </w:r>
      <w:proofErr w:type="spellEnd"/>
      <w:r w:rsidRPr="00475A35">
        <w:rPr>
          <w:sz w:val="20"/>
          <w:lang w:val="sv-SE"/>
        </w:rPr>
        <w:t xml:space="preserve"> </w:t>
      </w:r>
      <w:proofErr w:type="spellStart"/>
      <w:r w:rsidRPr="00475A35">
        <w:rPr>
          <w:sz w:val="20"/>
          <w:lang w:val="sv-SE"/>
        </w:rPr>
        <w:t>darah</w:t>
      </w:r>
      <w:proofErr w:type="spellEnd"/>
      <w:r w:rsidRPr="00475A35">
        <w:rPr>
          <w:sz w:val="20"/>
          <w:lang w:val="sv-SE"/>
        </w:rPr>
        <w:t xml:space="preserve"> </w:t>
      </w:r>
      <w:proofErr w:type="spellStart"/>
      <w:r w:rsidRPr="00475A35">
        <w:rPr>
          <w:sz w:val="20"/>
          <w:lang w:val="sv-SE"/>
        </w:rPr>
        <w:t>lengkap</w:t>
      </w:r>
      <w:proofErr w:type="spellEnd"/>
      <w:r w:rsidRPr="00475A35">
        <w:rPr>
          <w:sz w:val="20"/>
          <w:lang w:val="sv-SE"/>
        </w:rPr>
        <w:t xml:space="preserve"> </w:t>
      </w:r>
      <w:proofErr w:type="spellStart"/>
      <w:r w:rsidRPr="00475A35">
        <w:rPr>
          <w:sz w:val="20"/>
          <w:lang w:val="sv-SE"/>
        </w:rPr>
        <w:t>untuk</w:t>
      </w:r>
      <w:proofErr w:type="spellEnd"/>
      <w:r w:rsidRPr="00475A35">
        <w:rPr>
          <w:sz w:val="20"/>
          <w:lang w:val="sv-SE"/>
        </w:rPr>
        <w:t xml:space="preserve"> </w:t>
      </w:r>
      <w:proofErr w:type="spellStart"/>
      <w:r w:rsidRPr="00475A35">
        <w:rPr>
          <w:sz w:val="20"/>
          <w:lang w:val="sv-SE"/>
        </w:rPr>
        <w:t>melacak</w:t>
      </w:r>
      <w:proofErr w:type="spellEnd"/>
      <w:r w:rsidRPr="00475A35">
        <w:rPr>
          <w:sz w:val="20"/>
          <w:lang w:val="sv-SE"/>
        </w:rPr>
        <w:t xml:space="preserve"> </w:t>
      </w:r>
      <w:proofErr w:type="spellStart"/>
      <w:r w:rsidRPr="00475A35">
        <w:rPr>
          <w:sz w:val="20"/>
          <w:lang w:val="sv-SE"/>
        </w:rPr>
        <w:t>kadar</w:t>
      </w:r>
      <w:proofErr w:type="spellEnd"/>
      <w:r w:rsidRPr="00475A35">
        <w:rPr>
          <w:sz w:val="20"/>
          <w:lang w:val="sv-SE"/>
        </w:rPr>
        <w:t xml:space="preserve"> hemoglobin, </w:t>
      </w:r>
      <w:proofErr w:type="spellStart"/>
      <w:r w:rsidRPr="00475A35">
        <w:rPr>
          <w:sz w:val="20"/>
          <w:lang w:val="sv-SE"/>
        </w:rPr>
        <w:t>trombosit</w:t>
      </w:r>
      <w:proofErr w:type="spellEnd"/>
      <w:r w:rsidRPr="00475A35">
        <w:rPr>
          <w:sz w:val="20"/>
          <w:lang w:val="sv-SE"/>
        </w:rPr>
        <w:t xml:space="preserve">, </w:t>
      </w:r>
      <w:proofErr w:type="gramStart"/>
      <w:r w:rsidRPr="00475A35">
        <w:rPr>
          <w:sz w:val="20"/>
          <w:lang w:val="sv-SE"/>
        </w:rPr>
        <w:t>dan</w:t>
      </w:r>
      <w:proofErr w:type="gramEnd"/>
      <w:r w:rsidRPr="00475A35">
        <w:rPr>
          <w:sz w:val="20"/>
          <w:lang w:val="sv-SE"/>
        </w:rPr>
        <w:t xml:space="preserve"> sel </w:t>
      </w:r>
      <w:proofErr w:type="spellStart"/>
      <w:r w:rsidRPr="00475A35">
        <w:rPr>
          <w:sz w:val="20"/>
          <w:lang w:val="sv-SE"/>
        </w:rPr>
        <w:t>darah</w:t>
      </w:r>
      <w:proofErr w:type="spellEnd"/>
      <w:r w:rsidRPr="00475A35">
        <w:rPr>
          <w:sz w:val="20"/>
          <w:lang w:val="sv-SE"/>
        </w:rPr>
        <w:t xml:space="preserve"> </w:t>
      </w:r>
      <w:proofErr w:type="spellStart"/>
      <w:r w:rsidRPr="00475A35">
        <w:rPr>
          <w:sz w:val="20"/>
          <w:lang w:val="sv-SE"/>
        </w:rPr>
        <w:t>putih</w:t>
      </w:r>
      <w:proofErr w:type="spellEnd"/>
      <w:r w:rsidRPr="00475A35">
        <w:rPr>
          <w:sz w:val="20"/>
          <w:lang w:val="sv-SE"/>
        </w:rPr>
        <w:t xml:space="preserve">; </w:t>
      </w:r>
      <w:proofErr w:type="spellStart"/>
      <w:r w:rsidRPr="00475A35">
        <w:rPr>
          <w:sz w:val="20"/>
          <w:lang w:val="sv-SE"/>
        </w:rPr>
        <w:t>penanda</w:t>
      </w:r>
      <w:proofErr w:type="spellEnd"/>
      <w:r w:rsidRPr="00475A35">
        <w:rPr>
          <w:sz w:val="20"/>
          <w:lang w:val="sv-SE"/>
        </w:rPr>
        <w:t xml:space="preserve"> </w:t>
      </w:r>
      <w:proofErr w:type="spellStart"/>
      <w:r w:rsidRPr="00475A35">
        <w:rPr>
          <w:sz w:val="20"/>
          <w:lang w:val="sv-SE"/>
        </w:rPr>
        <w:t>hemolisis</w:t>
      </w:r>
      <w:proofErr w:type="spellEnd"/>
      <w:r w:rsidRPr="00475A35">
        <w:rPr>
          <w:sz w:val="20"/>
          <w:lang w:val="sv-SE"/>
        </w:rPr>
        <w:t xml:space="preserve"> </w:t>
      </w:r>
      <w:proofErr w:type="spellStart"/>
      <w:r w:rsidRPr="00475A35">
        <w:rPr>
          <w:sz w:val="20"/>
          <w:lang w:val="sv-SE"/>
        </w:rPr>
        <w:t>seperti</w:t>
      </w:r>
      <w:proofErr w:type="spellEnd"/>
      <w:r w:rsidRPr="00475A35">
        <w:rPr>
          <w:sz w:val="20"/>
          <w:lang w:val="sv-SE"/>
        </w:rPr>
        <w:t xml:space="preserve"> laktat </w:t>
      </w:r>
      <w:proofErr w:type="spellStart"/>
      <w:r w:rsidRPr="00475A35">
        <w:rPr>
          <w:sz w:val="20"/>
          <w:lang w:val="sv-SE"/>
        </w:rPr>
        <w:t>dehidrogenase</w:t>
      </w:r>
      <w:proofErr w:type="spellEnd"/>
      <w:r w:rsidRPr="00475A35">
        <w:rPr>
          <w:sz w:val="20"/>
          <w:lang w:val="sv-SE"/>
        </w:rPr>
        <w:t xml:space="preserve"> (LDH), </w:t>
      </w:r>
      <w:proofErr w:type="spellStart"/>
      <w:r w:rsidRPr="00475A35">
        <w:rPr>
          <w:sz w:val="20"/>
          <w:lang w:val="sv-SE"/>
        </w:rPr>
        <w:t>bilirubin</w:t>
      </w:r>
      <w:proofErr w:type="spellEnd"/>
      <w:r w:rsidRPr="00475A35">
        <w:rPr>
          <w:sz w:val="20"/>
          <w:lang w:val="sv-SE"/>
        </w:rPr>
        <w:t xml:space="preserve">, </w:t>
      </w:r>
      <w:proofErr w:type="gramStart"/>
      <w:r w:rsidRPr="00475A35">
        <w:rPr>
          <w:sz w:val="20"/>
          <w:lang w:val="sv-SE"/>
        </w:rPr>
        <w:t>dan</w:t>
      </w:r>
      <w:proofErr w:type="gramEnd"/>
      <w:r w:rsidRPr="00475A35">
        <w:rPr>
          <w:sz w:val="20"/>
          <w:lang w:val="sv-SE"/>
        </w:rPr>
        <w:t xml:space="preserve"> </w:t>
      </w:r>
      <w:proofErr w:type="spellStart"/>
      <w:r w:rsidRPr="00475A35">
        <w:rPr>
          <w:sz w:val="20"/>
          <w:lang w:val="sv-SE"/>
        </w:rPr>
        <w:t>jumlah</w:t>
      </w:r>
      <w:proofErr w:type="spellEnd"/>
      <w:r w:rsidRPr="00475A35">
        <w:rPr>
          <w:sz w:val="20"/>
          <w:lang w:val="sv-SE"/>
        </w:rPr>
        <w:t xml:space="preserve"> </w:t>
      </w:r>
      <w:proofErr w:type="spellStart"/>
      <w:r w:rsidRPr="00475A35">
        <w:rPr>
          <w:sz w:val="20"/>
          <w:lang w:val="sv-SE"/>
        </w:rPr>
        <w:t>retikulosit</w:t>
      </w:r>
      <w:proofErr w:type="spellEnd"/>
      <w:r w:rsidRPr="00475A35">
        <w:rPr>
          <w:sz w:val="20"/>
          <w:lang w:val="sv-SE"/>
        </w:rPr>
        <w:t xml:space="preserve">; tes antiglobulin </w:t>
      </w:r>
      <w:proofErr w:type="spellStart"/>
      <w:r w:rsidRPr="00475A35">
        <w:rPr>
          <w:sz w:val="20"/>
          <w:lang w:val="sv-SE"/>
        </w:rPr>
        <w:t>langsung</w:t>
      </w:r>
      <w:proofErr w:type="spellEnd"/>
      <w:r w:rsidRPr="00475A35">
        <w:rPr>
          <w:sz w:val="20"/>
          <w:lang w:val="sv-SE"/>
        </w:rPr>
        <w:t xml:space="preserve"> </w:t>
      </w:r>
      <w:proofErr w:type="spellStart"/>
      <w:r w:rsidRPr="00475A35">
        <w:rPr>
          <w:sz w:val="20"/>
          <w:lang w:val="sv-SE"/>
        </w:rPr>
        <w:t>untuk</w:t>
      </w:r>
      <w:proofErr w:type="spellEnd"/>
      <w:r w:rsidRPr="00475A35">
        <w:rPr>
          <w:sz w:val="20"/>
          <w:lang w:val="sv-SE"/>
        </w:rPr>
        <w:t xml:space="preserve"> </w:t>
      </w:r>
      <w:proofErr w:type="spellStart"/>
      <w:r w:rsidRPr="00475A35">
        <w:rPr>
          <w:sz w:val="20"/>
          <w:lang w:val="sv-SE"/>
        </w:rPr>
        <w:t>memastikan</w:t>
      </w:r>
      <w:proofErr w:type="spellEnd"/>
      <w:r w:rsidRPr="00475A35">
        <w:rPr>
          <w:sz w:val="20"/>
          <w:lang w:val="sv-SE"/>
        </w:rPr>
        <w:t xml:space="preserve"> </w:t>
      </w:r>
      <w:proofErr w:type="spellStart"/>
      <w:r w:rsidRPr="00475A35">
        <w:rPr>
          <w:sz w:val="20"/>
          <w:lang w:val="sv-SE"/>
        </w:rPr>
        <w:t>hemolisis</w:t>
      </w:r>
      <w:proofErr w:type="spellEnd"/>
      <w:r w:rsidRPr="00475A35">
        <w:rPr>
          <w:sz w:val="20"/>
          <w:lang w:val="sv-SE"/>
        </w:rPr>
        <w:t xml:space="preserve"> </w:t>
      </w:r>
      <w:proofErr w:type="spellStart"/>
      <w:r w:rsidRPr="00475A35">
        <w:rPr>
          <w:sz w:val="20"/>
          <w:lang w:val="sv-SE"/>
        </w:rPr>
        <w:t>autoimun</w:t>
      </w:r>
      <w:proofErr w:type="spellEnd"/>
      <w:r w:rsidRPr="00475A35">
        <w:rPr>
          <w:sz w:val="20"/>
          <w:lang w:val="sv-SE"/>
        </w:rPr>
        <w:t xml:space="preserve">; </w:t>
      </w:r>
      <w:proofErr w:type="spellStart"/>
      <w:r w:rsidRPr="00475A35">
        <w:rPr>
          <w:sz w:val="20"/>
          <w:lang w:val="sv-SE"/>
        </w:rPr>
        <w:t>penanda</w:t>
      </w:r>
      <w:proofErr w:type="spellEnd"/>
      <w:r w:rsidRPr="00475A35">
        <w:rPr>
          <w:sz w:val="20"/>
          <w:lang w:val="sv-SE"/>
        </w:rPr>
        <w:t xml:space="preserve"> </w:t>
      </w:r>
      <w:proofErr w:type="spellStart"/>
      <w:r w:rsidRPr="00475A35">
        <w:rPr>
          <w:sz w:val="20"/>
          <w:lang w:val="sv-SE"/>
        </w:rPr>
        <w:t>inflamasi</w:t>
      </w:r>
      <w:proofErr w:type="spellEnd"/>
      <w:r w:rsidRPr="00475A35">
        <w:rPr>
          <w:sz w:val="20"/>
          <w:lang w:val="sv-SE"/>
        </w:rPr>
        <w:t xml:space="preserve"> </w:t>
      </w:r>
      <w:proofErr w:type="spellStart"/>
      <w:r w:rsidRPr="00475A35">
        <w:rPr>
          <w:sz w:val="20"/>
          <w:lang w:val="sv-SE"/>
        </w:rPr>
        <w:t>seperti</w:t>
      </w:r>
      <w:proofErr w:type="spellEnd"/>
      <w:r w:rsidRPr="00475A35">
        <w:rPr>
          <w:sz w:val="20"/>
          <w:lang w:val="sv-SE"/>
        </w:rPr>
        <w:t xml:space="preserve"> LED </w:t>
      </w:r>
      <w:proofErr w:type="gramStart"/>
      <w:r w:rsidRPr="00475A35">
        <w:rPr>
          <w:sz w:val="20"/>
          <w:lang w:val="sv-SE"/>
        </w:rPr>
        <w:t>dan</w:t>
      </w:r>
      <w:proofErr w:type="gramEnd"/>
      <w:r w:rsidRPr="00475A35">
        <w:rPr>
          <w:sz w:val="20"/>
          <w:lang w:val="sv-SE"/>
        </w:rPr>
        <w:t xml:space="preserve"> CRP; </w:t>
      </w:r>
      <w:proofErr w:type="gramStart"/>
      <w:r w:rsidRPr="00475A35">
        <w:rPr>
          <w:sz w:val="20"/>
          <w:lang w:val="sv-SE"/>
        </w:rPr>
        <w:t>dan</w:t>
      </w:r>
      <w:proofErr w:type="gramEnd"/>
      <w:r w:rsidRPr="00475A35">
        <w:rPr>
          <w:sz w:val="20"/>
          <w:lang w:val="sv-SE"/>
        </w:rPr>
        <w:t xml:space="preserve"> </w:t>
      </w:r>
      <w:proofErr w:type="spellStart"/>
      <w:r w:rsidRPr="00475A35">
        <w:rPr>
          <w:sz w:val="20"/>
          <w:lang w:val="sv-SE"/>
        </w:rPr>
        <w:t>apusan</w:t>
      </w:r>
      <w:proofErr w:type="spellEnd"/>
      <w:r w:rsidRPr="00475A35">
        <w:rPr>
          <w:sz w:val="20"/>
          <w:lang w:val="sv-SE"/>
        </w:rPr>
        <w:t xml:space="preserve"> </w:t>
      </w:r>
      <w:proofErr w:type="spellStart"/>
      <w:r w:rsidRPr="00475A35">
        <w:rPr>
          <w:sz w:val="20"/>
          <w:lang w:val="sv-SE"/>
        </w:rPr>
        <w:t>darah</w:t>
      </w:r>
      <w:proofErr w:type="spellEnd"/>
      <w:r w:rsidRPr="00475A35">
        <w:rPr>
          <w:sz w:val="20"/>
          <w:lang w:val="sv-SE"/>
        </w:rPr>
        <w:t xml:space="preserve"> </w:t>
      </w:r>
      <w:proofErr w:type="spellStart"/>
      <w:r w:rsidRPr="00475A35">
        <w:rPr>
          <w:sz w:val="20"/>
          <w:lang w:val="sv-SE"/>
        </w:rPr>
        <w:t>tepi</w:t>
      </w:r>
      <w:proofErr w:type="spellEnd"/>
      <w:r w:rsidRPr="00475A35">
        <w:rPr>
          <w:sz w:val="20"/>
          <w:lang w:val="sv-SE"/>
        </w:rPr>
        <w:t xml:space="preserve"> </w:t>
      </w:r>
      <w:proofErr w:type="spellStart"/>
      <w:r w:rsidRPr="00475A35">
        <w:rPr>
          <w:sz w:val="20"/>
          <w:lang w:val="sv-SE"/>
        </w:rPr>
        <w:t>untuk</w:t>
      </w:r>
      <w:proofErr w:type="spellEnd"/>
      <w:r w:rsidRPr="00475A35">
        <w:rPr>
          <w:sz w:val="20"/>
          <w:lang w:val="sv-SE"/>
        </w:rPr>
        <w:t xml:space="preserve"> </w:t>
      </w:r>
      <w:proofErr w:type="spellStart"/>
      <w:r w:rsidRPr="00475A35">
        <w:rPr>
          <w:sz w:val="20"/>
          <w:lang w:val="sv-SE"/>
        </w:rPr>
        <w:t>mendeteksi</w:t>
      </w:r>
      <w:proofErr w:type="spellEnd"/>
      <w:r w:rsidRPr="00475A35">
        <w:rPr>
          <w:sz w:val="20"/>
          <w:lang w:val="sv-SE"/>
        </w:rPr>
        <w:t xml:space="preserve"> </w:t>
      </w:r>
      <w:proofErr w:type="spellStart"/>
      <w:r w:rsidRPr="00475A35">
        <w:rPr>
          <w:sz w:val="20"/>
          <w:lang w:val="sv-SE"/>
        </w:rPr>
        <w:t>kelainan</w:t>
      </w:r>
      <w:proofErr w:type="spellEnd"/>
      <w:r w:rsidRPr="00475A35">
        <w:rPr>
          <w:sz w:val="20"/>
          <w:lang w:val="sv-SE"/>
        </w:rPr>
        <w:t xml:space="preserve"> sel </w:t>
      </w:r>
      <w:proofErr w:type="spellStart"/>
      <w:r w:rsidRPr="00475A35">
        <w:rPr>
          <w:sz w:val="20"/>
          <w:lang w:val="sv-SE"/>
        </w:rPr>
        <w:t>darah</w:t>
      </w:r>
      <w:proofErr w:type="spellEnd"/>
      <w:r w:rsidRPr="00475A35">
        <w:rPr>
          <w:sz w:val="20"/>
          <w:lang w:val="sv-SE"/>
        </w:rPr>
        <w:t xml:space="preserve">. Tes-tes ini </w:t>
      </w:r>
      <w:proofErr w:type="spellStart"/>
      <w:r w:rsidRPr="00475A35">
        <w:rPr>
          <w:sz w:val="20"/>
          <w:lang w:val="sv-SE"/>
        </w:rPr>
        <w:t>membantu</w:t>
      </w:r>
      <w:proofErr w:type="spellEnd"/>
      <w:r w:rsidRPr="00475A35">
        <w:rPr>
          <w:sz w:val="20"/>
          <w:lang w:val="sv-SE"/>
        </w:rPr>
        <w:t xml:space="preserve"> </w:t>
      </w:r>
      <w:proofErr w:type="spellStart"/>
      <w:r w:rsidRPr="00475A35">
        <w:rPr>
          <w:sz w:val="20"/>
          <w:lang w:val="sv-SE"/>
        </w:rPr>
        <w:t>menentukan</w:t>
      </w:r>
      <w:proofErr w:type="spellEnd"/>
      <w:r w:rsidRPr="00475A35">
        <w:rPr>
          <w:sz w:val="20"/>
          <w:lang w:val="sv-SE"/>
        </w:rPr>
        <w:t xml:space="preserve"> </w:t>
      </w:r>
      <w:proofErr w:type="spellStart"/>
      <w:r w:rsidRPr="00475A35">
        <w:rPr>
          <w:sz w:val="20"/>
          <w:lang w:val="sv-SE"/>
        </w:rPr>
        <w:t>efektivitas</w:t>
      </w:r>
      <w:proofErr w:type="spellEnd"/>
      <w:r w:rsidRPr="00475A35">
        <w:rPr>
          <w:sz w:val="20"/>
          <w:lang w:val="sv-SE"/>
        </w:rPr>
        <w:t xml:space="preserve"> </w:t>
      </w:r>
      <w:proofErr w:type="spellStart"/>
      <w:r w:rsidRPr="00475A35">
        <w:rPr>
          <w:sz w:val="20"/>
          <w:lang w:val="sv-SE"/>
        </w:rPr>
        <w:t>pengobatan</w:t>
      </w:r>
      <w:proofErr w:type="spellEnd"/>
      <w:r w:rsidRPr="00475A35">
        <w:rPr>
          <w:sz w:val="20"/>
          <w:lang w:val="sv-SE"/>
        </w:rPr>
        <w:t xml:space="preserve"> </w:t>
      </w:r>
      <w:proofErr w:type="spellStart"/>
      <w:r w:rsidRPr="00475A35">
        <w:rPr>
          <w:sz w:val="20"/>
          <w:lang w:val="sv-SE"/>
        </w:rPr>
        <w:t>seperti</w:t>
      </w:r>
      <w:proofErr w:type="spellEnd"/>
      <w:r w:rsidRPr="00475A35">
        <w:rPr>
          <w:sz w:val="20"/>
          <w:lang w:val="sv-SE"/>
        </w:rPr>
        <w:t xml:space="preserve"> </w:t>
      </w:r>
      <w:proofErr w:type="spellStart"/>
      <w:r w:rsidRPr="00475A35">
        <w:rPr>
          <w:sz w:val="20"/>
          <w:lang w:val="sv-SE"/>
        </w:rPr>
        <w:t>kortikosteroid</w:t>
      </w:r>
      <w:proofErr w:type="spellEnd"/>
      <w:r w:rsidRPr="00475A35">
        <w:rPr>
          <w:sz w:val="20"/>
          <w:lang w:val="sv-SE"/>
        </w:rPr>
        <w:t xml:space="preserve">, </w:t>
      </w:r>
      <w:proofErr w:type="spellStart"/>
      <w:r w:rsidRPr="00475A35">
        <w:rPr>
          <w:sz w:val="20"/>
          <w:lang w:val="sv-SE"/>
        </w:rPr>
        <w:t>imunoglobulin</w:t>
      </w:r>
      <w:proofErr w:type="spellEnd"/>
      <w:r w:rsidRPr="00475A35">
        <w:rPr>
          <w:sz w:val="20"/>
          <w:lang w:val="sv-SE"/>
        </w:rPr>
        <w:t xml:space="preserve"> </w:t>
      </w:r>
      <w:proofErr w:type="spellStart"/>
      <w:r w:rsidRPr="00475A35">
        <w:rPr>
          <w:sz w:val="20"/>
          <w:lang w:val="sv-SE"/>
        </w:rPr>
        <w:t>intravena</w:t>
      </w:r>
      <w:proofErr w:type="spellEnd"/>
      <w:r w:rsidRPr="00475A35">
        <w:rPr>
          <w:sz w:val="20"/>
          <w:lang w:val="sv-SE"/>
        </w:rPr>
        <w:t xml:space="preserve"> (IVIG), </w:t>
      </w:r>
      <w:proofErr w:type="spellStart"/>
      <w:r w:rsidRPr="00475A35">
        <w:rPr>
          <w:sz w:val="20"/>
          <w:lang w:val="sv-SE"/>
        </w:rPr>
        <w:t>rituximab</w:t>
      </w:r>
      <w:proofErr w:type="spellEnd"/>
      <w:r w:rsidRPr="00475A35">
        <w:rPr>
          <w:sz w:val="20"/>
          <w:lang w:val="sv-SE"/>
        </w:rPr>
        <w:t xml:space="preserve">, </w:t>
      </w:r>
      <w:proofErr w:type="spellStart"/>
      <w:r w:rsidRPr="00475A35">
        <w:rPr>
          <w:sz w:val="20"/>
          <w:lang w:val="sv-SE"/>
        </w:rPr>
        <w:t>atau</w:t>
      </w:r>
      <w:proofErr w:type="spellEnd"/>
      <w:r w:rsidRPr="00475A35">
        <w:rPr>
          <w:sz w:val="20"/>
          <w:lang w:val="sv-SE"/>
        </w:rPr>
        <w:t xml:space="preserve"> agonis </w:t>
      </w:r>
      <w:proofErr w:type="spellStart"/>
      <w:r w:rsidRPr="00475A35">
        <w:rPr>
          <w:sz w:val="20"/>
          <w:lang w:val="sv-SE"/>
        </w:rPr>
        <w:t>reseptor</w:t>
      </w:r>
      <w:proofErr w:type="spellEnd"/>
      <w:r w:rsidRPr="00475A35">
        <w:rPr>
          <w:sz w:val="20"/>
          <w:lang w:val="sv-SE"/>
        </w:rPr>
        <w:t xml:space="preserve"> </w:t>
      </w:r>
      <w:proofErr w:type="spellStart"/>
      <w:r w:rsidRPr="00475A35">
        <w:rPr>
          <w:sz w:val="20"/>
          <w:lang w:val="sv-SE"/>
        </w:rPr>
        <w:t>trombopoietin</w:t>
      </w:r>
      <w:proofErr w:type="spellEnd"/>
      <w:r w:rsidRPr="00475A35">
        <w:rPr>
          <w:sz w:val="20"/>
          <w:lang w:val="sv-SE"/>
        </w:rPr>
        <w:t xml:space="preserve"> (TPO-RA). Respons </w:t>
      </w:r>
      <w:proofErr w:type="spellStart"/>
      <w:r w:rsidRPr="00475A35">
        <w:rPr>
          <w:sz w:val="20"/>
          <w:lang w:val="sv-SE"/>
        </w:rPr>
        <w:t>pengobatan</w:t>
      </w:r>
      <w:proofErr w:type="spellEnd"/>
      <w:r w:rsidRPr="00475A35">
        <w:rPr>
          <w:sz w:val="20"/>
          <w:lang w:val="sv-SE"/>
        </w:rPr>
        <w:t xml:space="preserve"> </w:t>
      </w:r>
      <w:proofErr w:type="spellStart"/>
      <w:r w:rsidRPr="00475A35">
        <w:rPr>
          <w:sz w:val="20"/>
          <w:lang w:val="sv-SE"/>
        </w:rPr>
        <w:t>dievaluasi</w:t>
      </w:r>
      <w:proofErr w:type="spellEnd"/>
      <w:r w:rsidRPr="00475A35">
        <w:rPr>
          <w:sz w:val="20"/>
          <w:lang w:val="sv-SE"/>
        </w:rPr>
        <w:t xml:space="preserve"> </w:t>
      </w:r>
      <w:proofErr w:type="spellStart"/>
      <w:r w:rsidRPr="00475A35">
        <w:rPr>
          <w:sz w:val="20"/>
          <w:lang w:val="sv-SE"/>
        </w:rPr>
        <w:t>dengan</w:t>
      </w:r>
      <w:proofErr w:type="spellEnd"/>
      <w:r w:rsidRPr="00475A35">
        <w:rPr>
          <w:sz w:val="20"/>
          <w:lang w:val="sv-SE"/>
        </w:rPr>
        <w:t xml:space="preserve"> </w:t>
      </w:r>
      <w:proofErr w:type="spellStart"/>
      <w:r w:rsidRPr="00475A35">
        <w:rPr>
          <w:sz w:val="20"/>
          <w:lang w:val="sv-SE"/>
        </w:rPr>
        <w:t>peningkatan</w:t>
      </w:r>
      <w:proofErr w:type="spellEnd"/>
      <w:r w:rsidRPr="00475A35">
        <w:rPr>
          <w:sz w:val="20"/>
          <w:lang w:val="sv-SE"/>
        </w:rPr>
        <w:t xml:space="preserve"> </w:t>
      </w:r>
      <w:proofErr w:type="spellStart"/>
      <w:r w:rsidRPr="00475A35">
        <w:rPr>
          <w:sz w:val="20"/>
          <w:lang w:val="sv-SE"/>
        </w:rPr>
        <w:t>jumlah</w:t>
      </w:r>
      <w:proofErr w:type="spellEnd"/>
      <w:r w:rsidRPr="00475A35">
        <w:rPr>
          <w:sz w:val="20"/>
          <w:lang w:val="sv-SE"/>
        </w:rPr>
        <w:t xml:space="preserve"> </w:t>
      </w:r>
      <w:proofErr w:type="spellStart"/>
      <w:r w:rsidRPr="00475A35">
        <w:rPr>
          <w:sz w:val="20"/>
          <w:lang w:val="sv-SE"/>
        </w:rPr>
        <w:t>darah</w:t>
      </w:r>
      <w:proofErr w:type="spellEnd"/>
      <w:r w:rsidRPr="00475A35">
        <w:rPr>
          <w:sz w:val="20"/>
          <w:lang w:val="sv-SE"/>
        </w:rPr>
        <w:t xml:space="preserve"> </w:t>
      </w:r>
      <w:proofErr w:type="gramStart"/>
      <w:r w:rsidRPr="00475A35">
        <w:rPr>
          <w:sz w:val="20"/>
          <w:lang w:val="sv-SE"/>
        </w:rPr>
        <w:t>dan</w:t>
      </w:r>
      <w:proofErr w:type="gramEnd"/>
      <w:r w:rsidRPr="00475A35">
        <w:rPr>
          <w:sz w:val="20"/>
          <w:lang w:val="sv-SE"/>
        </w:rPr>
        <w:t xml:space="preserve"> </w:t>
      </w:r>
      <w:proofErr w:type="spellStart"/>
      <w:r w:rsidRPr="00475A35">
        <w:rPr>
          <w:sz w:val="20"/>
          <w:lang w:val="sv-SE"/>
        </w:rPr>
        <w:t>penurunan</w:t>
      </w:r>
      <w:proofErr w:type="spellEnd"/>
      <w:r w:rsidRPr="00475A35">
        <w:rPr>
          <w:sz w:val="20"/>
          <w:lang w:val="sv-SE"/>
        </w:rPr>
        <w:t xml:space="preserve"> </w:t>
      </w:r>
      <w:proofErr w:type="spellStart"/>
      <w:r w:rsidRPr="00475A35">
        <w:rPr>
          <w:sz w:val="20"/>
          <w:lang w:val="sv-SE"/>
        </w:rPr>
        <w:t>penanda</w:t>
      </w:r>
      <w:proofErr w:type="spellEnd"/>
      <w:r w:rsidRPr="00475A35">
        <w:rPr>
          <w:sz w:val="20"/>
          <w:lang w:val="sv-SE"/>
        </w:rPr>
        <w:t xml:space="preserve"> </w:t>
      </w:r>
      <w:proofErr w:type="spellStart"/>
      <w:r w:rsidRPr="00475A35">
        <w:rPr>
          <w:sz w:val="20"/>
          <w:lang w:val="sv-SE"/>
        </w:rPr>
        <w:t>hemolisis</w:t>
      </w:r>
      <w:proofErr w:type="spellEnd"/>
      <w:r w:rsidRPr="00475A35">
        <w:rPr>
          <w:sz w:val="20"/>
          <w:lang w:val="sv-SE"/>
        </w:rPr>
        <w:t xml:space="preserve">, </w:t>
      </w:r>
      <w:proofErr w:type="spellStart"/>
      <w:r w:rsidRPr="00475A35">
        <w:rPr>
          <w:sz w:val="20"/>
          <w:lang w:val="sv-SE"/>
        </w:rPr>
        <w:t>sementara</w:t>
      </w:r>
      <w:proofErr w:type="spellEnd"/>
      <w:r w:rsidRPr="00475A35">
        <w:rPr>
          <w:sz w:val="20"/>
          <w:lang w:val="sv-SE"/>
        </w:rPr>
        <w:t xml:space="preserve"> </w:t>
      </w:r>
      <w:proofErr w:type="spellStart"/>
      <w:r w:rsidRPr="00475A35">
        <w:rPr>
          <w:sz w:val="20"/>
          <w:lang w:val="sv-SE"/>
        </w:rPr>
        <w:t>sitopenia</w:t>
      </w:r>
      <w:proofErr w:type="spellEnd"/>
      <w:r w:rsidRPr="00475A35">
        <w:rPr>
          <w:sz w:val="20"/>
          <w:lang w:val="sv-SE"/>
        </w:rPr>
        <w:t xml:space="preserve"> </w:t>
      </w:r>
      <w:proofErr w:type="spellStart"/>
      <w:r w:rsidRPr="00475A35">
        <w:rPr>
          <w:sz w:val="20"/>
          <w:lang w:val="sv-SE"/>
        </w:rPr>
        <w:t>persisten</w:t>
      </w:r>
      <w:proofErr w:type="spellEnd"/>
      <w:r w:rsidRPr="00475A35">
        <w:rPr>
          <w:sz w:val="20"/>
          <w:lang w:val="sv-SE"/>
        </w:rPr>
        <w:t xml:space="preserve"> </w:t>
      </w:r>
      <w:proofErr w:type="spellStart"/>
      <w:r w:rsidRPr="00475A35">
        <w:rPr>
          <w:sz w:val="20"/>
          <w:lang w:val="sv-SE"/>
        </w:rPr>
        <w:t>mungkin</w:t>
      </w:r>
      <w:proofErr w:type="spellEnd"/>
      <w:r w:rsidRPr="00475A35">
        <w:rPr>
          <w:sz w:val="20"/>
          <w:lang w:val="sv-SE"/>
        </w:rPr>
        <w:t xml:space="preserve"> </w:t>
      </w:r>
      <w:proofErr w:type="spellStart"/>
      <w:r w:rsidRPr="00475A35">
        <w:rPr>
          <w:sz w:val="20"/>
          <w:lang w:val="sv-SE"/>
        </w:rPr>
        <w:t>memerlukan</w:t>
      </w:r>
      <w:proofErr w:type="spellEnd"/>
      <w:r w:rsidRPr="00475A35">
        <w:rPr>
          <w:sz w:val="20"/>
          <w:lang w:val="sv-SE"/>
        </w:rPr>
        <w:t xml:space="preserve"> </w:t>
      </w:r>
      <w:proofErr w:type="spellStart"/>
      <w:r w:rsidRPr="00475A35">
        <w:rPr>
          <w:sz w:val="20"/>
          <w:lang w:val="sv-SE"/>
        </w:rPr>
        <w:t>penyesuaian</w:t>
      </w:r>
      <w:proofErr w:type="spellEnd"/>
      <w:r w:rsidRPr="00475A35">
        <w:rPr>
          <w:sz w:val="20"/>
          <w:lang w:val="sv-SE"/>
        </w:rPr>
        <w:t xml:space="preserve"> terapi </w:t>
      </w:r>
      <w:proofErr w:type="spellStart"/>
      <w:r w:rsidRPr="00475A35">
        <w:rPr>
          <w:sz w:val="20"/>
          <w:lang w:val="sv-SE"/>
        </w:rPr>
        <w:t>atau</w:t>
      </w:r>
      <w:proofErr w:type="spellEnd"/>
      <w:r w:rsidRPr="00475A35">
        <w:rPr>
          <w:sz w:val="20"/>
          <w:lang w:val="sv-SE"/>
        </w:rPr>
        <w:t xml:space="preserve"> </w:t>
      </w:r>
      <w:proofErr w:type="spellStart"/>
      <w:r w:rsidRPr="00475A35">
        <w:rPr>
          <w:sz w:val="20"/>
          <w:lang w:val="sv-SE"/>
        </w:rPr>
        <w:t>pengobatan</w:t>
      </w:r>
      <w:proofErr w:type="spellEnd"/>
      <w:r w:rsidRPr="00475A35">
        <w:rPr>
          <w:sz w:val="20"/>
          <w:lang w:val="sv-SE"/>
        </w:rPr>
        <w:t xml:space="preserve"> </w:t>
      </w:r>
      <w:proofErr w:type="spellStart"/>
      <w:r w:rsidRPr="00475A35">
        <w:rPr>
          <w:sz w:val="20"/>
          <w:lang w:val="sv-SE"/>
        </w:rPr>
        <w:t>lini</w:t>
      </w:r>
      <w:proofErr w:type="spellEnd"/>
      <w:r w:rsidRPr="00475A35">
        <w:rPr>
          <w:sz w:val="20"/>
          <w:lang w:val="sv-SE"/>
        </w:rPr>
        <w:t xml:space="preserve"> </w:t>
      </w:r>
      <w:proofErr w:type="spellStart"/>
      <w:r w:rsidRPr="00475A35">
        <w:rPr>
          <w:sz w:val="20"/>
          <w:lang w:val="sv-SE"/>
        </w:rPr>
        <w:t>kedua</w:t>
      </w:r>
      <w:proofErr w:type="spellEnd"/>
      <w:r w:rsidRPr="00475A35">
        <w:rPr>
          <w:sz w:val="20"/>
          <w:lang w:val="sv-SE"/>
        </w:rPr>
        <w:t xml:space="preserve">. </w:t>
      </w:r>
      <w:proofErr w:type="spellStart"/>
      <w:r w:rsidRPr="00475A35">
        <w:rPr>
          <w:sz w:val="20"/>
          <w:lang w:val="sv-SE"/>
        </w:rPr>
        <w:t>Penanganan</w:t>
      </w:r>
      <w:proofErr w:type="spellEnd"/>
      <w:r w:rsidRPr="00475A35">
        <w:rPr>
          <w:sz w:val="20"/>
          <w:lang w:val="sv-SE"/>
        </w:rPr>
        <w:t xml:space="preserve"> </w:t>
      </w:r>
      <w:proofErr w:type="spellStart"/>
      <w:r w:rsidRPr="00475A35">
        <w:rPr>
          <w:sz w:val="20"/>
          <w:lang w:val="sv-SE"/>
        </w:rPr>
        <w:t>komplikasi</w:t>
      </w:r>
      <w:proofErr w:type="spellEnd"/>
      <w:r w:rsidRPr="00475A35">
        <w:rPr>
          <w:sz w:val="20"/>
          <w:lang w:val="sv-SE"/>
        </w:rPr>
        <w:t xml:space="preserve"> </w:t>
      </w:r>
      <w:proofErr w:type="spellStart"/>
      <w:r w:rsidRPr="00475A35">
        <w:rPr>
          <w:sz w:val="20"/>
          <w:lang w:val="sv-SE"/>
        </w:rPr>
        <w:t>memerlukan</w:t>
      </w:r>
      <w:proofErr w:type="spellEnd"/>
      <w:r w:rsidRPr="00475A35">
        <w:rPr>
          <w:sz w:val="20"/>
          <w:lang w:val="sv-SE"/>
        </w:rPr>
        <w:t xml:space="preserve"> </w:t>
      </w:r>
      <w:proofErr w:type="spellStart"/>
      <w:r w:rsidRPr="00475A35">
        <w:rPr>
          <w:sz w:val="20"/>
          <w:lang w:val="sv-SE"/>
        </w:rPr>
        <w:t>kewaspadaan</w:t>
      </w:r>
      <w:proofErr w:type="spellEnd"/>
      <w:r w:rsidRPr="00475A35">
        <w:rPr>
          <w:sz w:val="20"/>
          <w:lang w:val="sv-SE"/>
        </w:rPr>
        <w:t xml:space="preserve"> </w:t>
      </w:r>
      <w:proofErr w:type="spellStart"/>
      <w:r w:rsidRPr="00475A35">
        <w:rPr>
          <w:sz w:val="20"/>
          <w:lang w:val="sv-SE"/>
        </w:rPr>
        <w:t>terhadap</w:t>
      </w:r>
      <w:proofErr w:type="spellEnd"/>
      <w:r w:rsidRPr="00475A35">
        <w:rPr>
          <w:sz w:val="20"/>
          <w:lang w:val="sv-SE"/>
        </w:rPr>
        <w:t xml:space="preserve"> </w:t>
      </w:r>
      <w:proofErr w:type="spellStart"/>
      <w:r w:rsidRPr="00475A35">
        <w:rPr>
          <w:sz w:val="20"/>
          <w:lang w:val="sv-SE"/>
        </w:rPr>
        <w:t>infeksi</w:t>
      </w:r>
      <w:proofErr w:type="spellEnd"/>
      <w:r w:rsidRPr="00475A35">
        <w:rPr>
          <w:sz w:val="20"/>
          <w:lang w:val="sv-SE"/>
        </w:rPr>
        <w:t xml:space="preserve"> </w:t>
      </w:r>
      <w:proofErr w:type="gramStart"/>
      <w:r w:rsidRPr="00475A35">
        <w:rPr>
          <w:sz w:val="20"/>
          <w:lang w:val="sv-SE"/>
        </w:rPr>
        <w:t>dan</w:t>
      </w:r>
      <w:proofErr w:type="gramEnd"/>
      <w:r w:rsidRPr="00475A35">
        <w:rPr>
          <w:sz w:val="20"/>
          <w:lang w:val="sv-SE"/>
        </w:rPr>
        <w:t xml:space="preserve"> </w:t>
      </w:r>
      <w:proofErr w:type="spellStart"/>
      <w:r w:rsidRPr="00475A35">
        <w:rPr>
          <w:sz w:val="20"/>
          <w:lang w:val="sv-SE"/>
        </w:rPr>
        <w:t>tromboemboli</w:t>
      </w:r>
      <w:proofErr w:type="spellEnd"/>
      <w:r w:rsidRPr="00475A35">
        <w:rPr>
          <w:sz w:val="20"/>
          <w:lang w:val="sv-SE"/>
        </w:rPr>
        <w:t xml:space="preserve"> </w:t>
      </w:r>
      <w:proofErr w:type="spellStart"/>
      <w:r w:rsidRPr="00475A35">
        <w:rPr>
          <w:sz w:val="20"/>
          <w:lang w:val="sv-SE"/>
        </w:rPr>
        <w:t>vena</w:t>
      </w:r>
      <w:proofErr w:type="spellEnd"/>
      <w:r w:rsidRPr="00475A35">
        <w:rPr>
          <w:sz w:val="20"/>
          <w:lang w:val="sv-SE"/>
        </w:rPr>
        <w:t xml:space="preserve">, </w:t>
      </w:r>
      <w:proofErr w:type="spellStart"/>
      <w:r w:rsidRPr="00475A35">
        <w:rPr>
          <w:sz w:val="20"/>
          <w:lang w:val="sv-SE"/>
        </w:rPr>
        <w:t>menyeimbangkan</w:t>
      </w:r>
      <w:proofErr w:type="spellEnd"/>
      <w:r w:rsidRPr="00475A35">
        <w:rPr>
          <w:sz w:val="20"/>
          <w:lang w:val="sv-SE"/>
        </w:rPr>
        <w:t xml:space="preserve"> </w:t>
      </w:r>
      <w:proofErr w:type="spellStart"/>
      <w:r w:rsidRPr="00475A35">
        <w:rPr>
          <w:sz w:val="20"/>
          <w:lang w:val="sv-SE"/>
        </w:rPr>
        <w:t>imunosupresi</w:t>
      </w:r>
      <w:proofErr w:type="spellEnd"/>
      <w:r w:rsidRPr="00475A35">
        <w:rPr>
          <w:sz w:val="20"/>
          <w:lang w:val="sv-SE"/>
        </w:rPr>
        <w:t xml:space="preserve"> </w:t>
      </w:r>
      <w:proofErr w:type="spellStart"/>
      <w:r w:rsidRPr="00475A35">
        <w:rPr>
          <w:sz w:val="20"/>
          <w:lang w:val="sv-SE"/>
        </w:rPr>
        <w:t>dengan</w:t>
      </w:r>
      <w:proofErr w:type="spellEnd"/>
      <w:r w:rsidRPr="00475A35">
        <w:rPr>
          <w:sz w:val="20"/>
          <w:lang w:val="sv-SE"/>
        </w:rPr>
        <w:t xml:space="preserve"> </w:t>
      </w:r>
      <w:proofErr w:type="spellStart"/>
      <w:r w:rsidRPr="00475A35">
        <w:rPr>
          <w:sz w:val="20"/>
          <w:lang w:val="sv-SE"/>
        </w:rPr>
        <w:t>profilaksis</w:t>
      </w:r>
      <w:proofErr w:type="spellEnd"/>
      <w:r w:rsidRPr="00475A35">
        <w:rPr>
          <w:sz w:val="20"/>
          <w:lang w:val="sv-SE"/>
        </w:rPr>
        <w:t xml:space="preserve">. Terapi </w:t>
      </w:r>
      <w:proofErr w:type="gramStart"/>
      <w:r w:rsidRPr="00475A35">
        <w:rPr>
          <w:sz w:val="20"/>
          <w:lang w:val="sv-SE"/>
        </w:rPr>
        <w:t>dan</w:t>
      </w:r>
      <w:proofErr w:type="gramEnd"/>
      <w:r w:rsidRPr="00475A35">
        <w:rPr>
          <w:sz w:val="20"/>
          <w:lang w:val="sv-SE"/>
        </w:rPr>
        <w:t xml:space="preserve"> </w:t>
      </w:r>
      <w:proofErr w:type="spellStart"/>
      <w:r w:rsidRPr="00475A35">
        <w:rPr>
          <w:sz w:val="20"/>
          <w:lang w:val="sv-SE"/>
        </w:rPr>
        <w:t>pemantauan</w:t>
      </w:r>
      <w:proofErr w:type="spellEnd"/>
      <w:r w:rsidRPr="00475A35">
        <w:rPr>
          <w:sz w:val="20"/>
          <w:lang w:val="sv-SE"/>
        </w:rPr>
        <w:t xml:space="preserve"> </w:t>
      </w:r>
      <w:proofErr w:type="spellStart"/>
      <w:r w:rsidRPr="00475A35">
        <w:rPr>
          <w:sz w:val="20"/>
          <w:lang w:val="sv-SE"/>
        </w:rPr>
        <w:t>harus</w:t>
      </w:r>
      <w:proofErr w:type="spellEnd"/>
      <w:r w:rsidRPr="00475A35">
        <w:rPr>
          <w:sz w:val="20"/>
          <w:lang w:val="sv-SE"/>
        </w:rPr>
        <w:t xml:space="preserve"> </w:t>
      </w:r>
      <w:proofErr w:type="spellStart"/>
      <w:r w:rsidRPr="00475A35">
        <w:rPr>
          <w:sz w:val="20"/>
          <w:lang w:val="sv-SE"/>
        </w:rPr>
        <w:t>disesuaikan</w:t>
      </w:r>
      <w:proofErr w:type="spellEnd"/>
      <w:r w:rsidRPr="00475A35">
        <w:rPr>
          <w:sz w:val="20"/>
          <w:lang w:val="sv-SE"/>
        </w:rPr>
        <w:t xml:space="preserve"> </w:t>
      </w:r>
      <w:proofErr w:type="spellStart"/>
      <w:r w:rsidRPr="00475A35">
        <w:rPr>
          <w:sz w:val="20"/>
          <w:lang w:val="sv-SE"/>
        </w:rPr>
        <w:t>berdasarkan</w:t>
      </w:r>
      <w:proofErr w:type="spellEnd"/>
      <w:r w:rsidRPr="00475A35">
        <w:rPr>
          <w:sz w:val="20"/>
          <w:lang w:val="sv-SE"/>
        </w:rPr>
        <w:t xml:space="preserve"> </w:t>
      </w:r>
      <w:proofErr w:type="spellStart"/>
      <w:r w:rsidRPr="00475A35">
        <w:rPr>
          <w:sz w:val="20"/>
          <w:lang w:val="sv-SE"/>
        </w:rPr>
        <w:t>usia</w:t>
      </w:r>
      <w:proofErr w:type="spellEnd"/>
      <w:r w:rsidRPr="00475A35">
        <w:rPr>
          <w:sz w:val="20"/>
          <w:lang w:val="sv-SE"/>
        </w:rPr>
        <w:t xml:space="preserve"> </w:t>
      </w:r>
      <w:proofErr w:type="spellStart"/>
      <w:r w:rsidRPr="00475A35">
        <w:rPr>
          <w:sz w:val="20"/>
          <w:lang w:val="sv-SE"/>
        </w:rPr>
        <w:t>pasien</w:t>
      </w:r>
      <w:proofErr w:type="spellEnd"/>
      <w:r w:rsidRPr="00475A35">
        <w:rPr>
          <w:sz w:val="20"/>
          <w:lang w:val="sv-SE"/>
        </w:rPr>
        <w:t xml:space="preserve">, </w:t>
      </w:r>
      <w:proofErr w:type="spellStart"/>
      <w:r w:rsidRPr="00475A35">
        <w:rPr>
          <w:sz w:val="20"/>
          <w:lang w:val="sv-SE"/>
        </w:rPr>
        <w:t>tingkat</w:t>
      </w:r>
      <w:proofErr w:type="spellEnd"/>
      <w:r w:rsidRPr="00475A35">
        <w:rPr>
          <w:sz w:val="20"/>
          <w:lang w:val="sv-SE"/>
        </w:rPr>
        <w:t xml:space="preserve"> </w:t>
      </w:r>
      <w:proofErr w:type="spellStart"/>
      <w:r w:rsidRPr="00475A35">
        <w:rPr>
          <w:sz w:val="20"/>
          <w:lang w:val="sv-SE"/>
        </w:rPr>
        <w:t>keparahan</w:t>
      </w:r>
      <w:proofErr w:type="spellEnd"/>
      <w:r w:rsidRPr="00475A35">
        <w:rPr>
          <w:sz w:val="20"/>
          <w:lang w:val="sv-SE"/>
        </w:rPr>
        <w:t xml:space="preserve"> </w:t>
      </w:r>
      <w:proofErr w:type="spellStart"/>
      <w:r w:rsidRPr="00475A35">
        <w:rPr>
          <w:sz w:val="20"/>
          <w:lang w:val="sv-SE"/>
        </w:rPr>
        <w:t>penyakit</w:t>
      </w:r>
      <w:proofErr w:type="spellEnd"/>
      <w:r w:rsidRPr="00475A35">
        <w:rPr>
          <w:sz w:val="20"/>
          <w:lang w:val="sv-SE"/>
        </w:rPr>
        <w:t xml:space="preserve">, </w:t>
      </w:r>
      <w:proofErr w:type="gramStart"/>
      <w:r w:rsidRPr="00475A35">
        <w:rPr>
          <w:sz w:val="20"/>
          <w:lang w:val="sv-SE"/>
        </w:rPr>
        <w:t>dan</w:t>
      </w:r>
      <w:proofErr w:type="gramEnd"/>
      <w:r w:rsidRPr="00475A35">
        <w:rPr>
          <w:sz w:val="20"/>
          <w:lang w:val="sv-SE"/>
        </w:rPr>
        <w:t xml:space="preserve"> </w:t>
      </w:r>
      <w:proofErr w:type="spellStart"/>
      <w:r w:rsidRPr="00475A35">
        <w:rPr>
          <w:sz w:val="20"/>
          <w:lang w:val="sv-SE"/>
        </w:rPr>
        <w:t>komorbiditas</w:t>
      </w:r>
      <w:proofErr w:type="spellEnd"/>
      <w:r w:rsidRPr="00475A35">
        <w:rPr>
          <w:sz w:val="20"/>
          <w:lang w:val="sv-SE"/>
        </w:rPr>
        <w:t xml:space="preserve">, </w:t>
      </w:r>
      <w:proofErr w:type="spellStart"/>
      <w:r w:rsidRPr="00475A35">
        <w:rPr>
          <w:sz w:val="20"/>
          <w:lang w:val="sv-SE"/>
        </w:rPr>
        <w:t>dengan</w:t>
      </w:r>
      <w:proofErr w:type="spellEnd"/>
      <w:r w:rsidRPr="00475A35">
        <w:rPr>
          <w:sz w:val="20"/>
          <w:lang w:val="sv-SE"/>
        </w:rPr>
        <w:t xml:space="preserve"> </w:t>
      </w:r>
      <w:proofErr w:type="spellStart"/>
      <w:r w:rsidRPr="00475A35">
        <w:rPr>
          <w:sz w:val="20"/>
          <w:lang w:val="sv-SE"/>
        </w:rPr>
        <w:t>tindak</w:t>
      </w:r>
      <w:proofErr w:type="spellEnd"/>
      <w:r w:rsidRPr="00475A35">
        <w:rPr>
          <w:sz w:val="20"/>
          <w:lang w:val="sv-SE"/>
        </w:rPr>
        <w:t xml:space="preserve"> </w:t>
      </w:r>
      <w:proofErr w:type="spellStart"/>
      <w:r w:rsidRPr="00475A35">
        <w:rPr>
          <w:sz w:val="20"/>
          <w:lang w:val="sv-SE"/>
        </w:rPr>
        <w:t>lanjut</w:t>
      </w:r>
      <w:proofErr w:type="spellEnd"/>
      <w:r w:rsidRPr="00475A35">
        <w:rPr>
          <w:sz w:val="20"/>
          <w:lang w:val="sv-SE"/>
        </w:rPr>
        <w:t xml:space="preserve"> </w:t>
      </w:r>
      <w:proofErr w:type="gramStart"/>
      <w:r w:rsidRPr="00475A35">
        <w:rPr>
          <w:sz w:val="20"/>
          <w:lang w:val="sv-SE"/>
        </w:rPr>
        <w:t>rutin yang</w:t>
      </w:r>
      <w:proofErr w:type="gramEnd"/>
      <w:r w:rsidRPr="00475A35">
        <w:rPr>
          <w:sz w:val="20"/>
          <w:lang w:val="sv-SE"/>
        </w:rPr>
        <w:t xml:space="preserve"> </w:t>
      </w:r>
      <w:proofErr w:type="spellStart"/>
      <w:r w:rsidRPr="00475A35">
        <w:rPr>
          <w:sz w:val="20"/>
          <w:lang w:val="sv-SE"/>
        </w:rPr>
        <w:t>memandu</w:t>
      </w:r>
      <w:proofErr w:type="spellEnd"/>
      <w:r w:rsidRPr="00475A35">
        <w:rPr>
          <w:sz w:val="20"/>
          <w:lang w:val="sv-SE"/>
        </w:rPr>
        <w:t xml:space="preserve"> </w:t>
      </w:r>
      <w:proofErr w:type="spellStart"/>
      <w:r w:rsidRPr="00475A35">
        <w:rPr>
          <w:sz w:val="20"/>
          <w:lang w:val="sv-SE"/>
        </w:rPr>
        <w:t>intensitas</w:t>
      </w:r>
      <w:proofErr w:type="spellEnd"/>
      <w:r w:rsidRPr="00475A35">
        <w:rPr>
          <w:sz w:val="20"/>
          <w:lang w:val="sv-SE"/>
        </w:rPr>
        <w:t xml:space="preserve"> </w:t>
      </w:r>
      <w:proofErr w:type="gramStart"/>
      <w:r w:rsidRPr="00475A35">
        <w:rPr>
          <w:sz w:val="20"/>
          <w:lang w:val="sv-SE"/>
        </w:rPr>
        <w:t>dan</w:t>
      </w:r>
      <w:proofErr w:type="gramEnd"/>
      <w:r w:rsidRPr="00475A35">
        <w:rPr>
          <w:sz w:val="20"/>
          <w:lang w:val="sv-SE"/>
        </w:rPr>
        <w:t xml:space="preserve"> </w:t>
      </w:r>
      <w:proofErr w:type="spellStart"/>
      <w:r w:rsidRPr="00475A35">
        <w:rPr>
          <w:sz w:val="20"/>
          <w:lang w:val="sv-SE"/>
        </w:rPr>
        <w:t>durasi</w:t>
      </w:r>
      <w:proofErr w:type="spellEnd"/>
      <w:r w:rsidRPr="00475A35">
        <w:rPr>
          <w:sz w:val="20"/>
          <w:lang w:val="sv-SE"/>
        </w:rPr>
        <w:t xml:space="preserve"> terapi. </w:t>
      </w:r>
      <w:proofErr w:type="spellStart"/>
      <w:r w:rsidRPr="00475A35">
        <w:rPr>
          <w:sz w:val="20"/>
          <w:lang w:val="sv-SE"/>
        </w:rPr>
        <w:t>Pada</w:t>
      </w:r>
      <w:proofErr w:type="spellEnd"/>
      <w:r w:rsidRPr="00475A35">
        <w:rPr>
          <w:sz w:val="20"/>
          <w:lang w:val="sv-SE"/>
        </w:rPr>
        <w:t xml:space="preserve"> kasus </w:t>
      </w:r>
      <w:proofErr w:type="spellStart"/>
      <w:r w:rsidRPr="00475A35">
        <w:rPr>
          <w:sz w:val="20"/>
          <w:lang w:val="sv-SE"/>
        </w:rPr>
        <w:t>refrakter</w:t>
      </w:r>
      <w:proofErr w:type="spellEnd"/>
      <w:r w:rsidRPr="00475A35">
        <w:rPr>
          <w:sz w:val="20"/>
          <w:lang w:val="sv-SE"/>
        </w:rPr>
        <w:t xml:space="preserve">, </w:t>
      </w:r>
      <w:proofErr w:type="spellStart"/>
      <w:r w:rsidRPr="00475A35">
        <w:rPr>
          <w:sz w:val="20"/>
          <w:lang w:val="sv-SE"/>
        </w:rPr>
        <w:t>imunosupresan</w:t>
      </w:r>
      <w:proofErr w:type="spellEnd"/>
      <w:r w:rsidRPr="00475A35">
        <w:rPr>
          <w:sz w:val="20"/>
          <w:lang w:val="sv-SE"/>
        </w:rPr>
        <w:t xml:space="preserve"> </w:t>
      </w:r>
      <w:proofErr w:type="spellStart"/>
      <w:r w:rsidRPr="00475A35">
        <w:rPr>
          <w:sz w:val="20"/>
          <w:lang w:val="sv-SE"/>
        </w:rPr>
        <w:t>tambahan</w:t>
      </w:r>
      <w:proofErr w:type="spellEnd"/>
      <w:r w:rsidRPr="00475A35">
        <w:rPr>
          <w:sz w:val="20"/>
          <w:lang w:val="sv-SE"/>
        </w:rPr>
        <w:t xml:space="preserve"> </w:t>
      </w:r>
      <w:proofErr w:type="spellStart"/>
      <w:r w:rsidRPr="00475A35">
        <w:rPr>
          <w:sz w:val="20"/>
          <w:lang w:val="sv-SE"/>
        </w:rPr>
        <w:t>atau</w:t>
      </w:r>
      <w:proofErr w:type="spellEnd"/>
      <w:r w:rsidRPr="00475A35">
        <w:rPr>
          <w:sz w:val="20"/>
          <w:lang w:val="sv-SE"/>
        </w:rPr>
        <w:t xml:space="preserve"> </w:t>
      </w:r>
      <w:proofErr w:type="spellStart"/>
      <w:r w:rsidRPr="00475A35">
        <w:rPr>
          <w:sz w:val="20"/>
          <w:lang w:val="sv-SE"/>
        </w:rPr>
        <w:t>splenektomi</w:t>
      </w:r>
      <w:proofErr w:type="spellEnd"/>
      <w:r w:rsidRPr="00475A35">
        <w:rPr>
          <w:sz w:val="20"/>
          <w:lang w:val="sv-SE"/>
        </w:rPr>
        <w:t xml:space="preserve"> </w:t>
      </w:r>
      <w:proofErr w:type="spellStart"/>
      <w:r w:rsidRPr="00475A35">
        <w:rPr>
          <w:sz w:val="20"/>
          <w:lang w:val="sv-SE"/>
        </w:rPr>
        <w:t>dapat</w:t>
      </w:r>
      <w:proofErr w:type="spellEnd"/>
      <w:r w:rsidRPr="00475A35">
        <w:rPr>
          <w:sz w:val="20"/>
          <w:lang w:val="sv-SE"/>
        </w:rPr>
        <w:t xml:space="preserve"> </w:t>
      </w:r>
      <w:proofErr w:type="spellStart"/>
      <w:r w:rsidRPr="00475A35">
        <w:rPr>
          <w:sz w:val="20"/>
          <w:lang w:val="sv-SE"/>
        </w:rPr>
        <w:t>dipertimbangkan</w:t>
      </w:r>
      <w:proofErr w:type="spellEnd"/>
      <w:r w:rsidRPr="00475A35">
        <w:rPr>
          <w:sz w:val="20"/>
          <w:lang w:val="sv-SE"/>
        </w:rPr>
        <w:t xml:space="preserve">, yang </w:t>
      </w:r>
      <w:proofErr w:type="spellStart"/>
      <w:r w:rsidRPr="00475A35">
        <w:rPr>
          <w:sz w:val="20"/>
          <w:lang w:val="sv-SE"/>
        </w:rPr>
        <w:t>memerlukan</w:t>
      </w:r>
      <w:proofErr w:type="spellEnd"/>
      <w:r w:rsidRPr="00475A35">
        <w:rPr>
          <w:sz w:val="20"/>
          <w:lang w:val="sv-SE"/>
        </w:rPr>
        <w:t xml:space="preserve"> </w:t>
      </w:r>
      <w:proofErr w:type="spellStart"/>
      <w:r w:rsidRPr="00475A35">
        <w:rPr>
          <w:sz w:val="20"/>
          <w:lang w:val="sv-SE"/>
        </w:rPr>
        <w:t>pemantauan</w:t>
      </w:r>
      <w:proofErr w:type="spellEnd"/>
      <w:r w:rsidRPr="00475A35">
        <w:rPr>
          <w:sz w:val="20"/>
          <w:lang w:val="sv-SE"/>
        </w:rPr>
        <w:t xml:space="preserve"> </w:t>
      </w:r>
      <w:proofErr w:type="spellStart"/>
      <w:r w:rsidRPr="00475A35">
        <w:rPr>
          <w:sz w:val="20"/>
          <w:lang w:val="sv-SE"/>
        </w:rPr>
        <w:t>lebih</w:t>
      </w:r>
      <w:proofErr w:type="spellEnd"/>
      <w:r w:rsidRPr="00475A35">
        <w:rPr>
          <w:sz w:val="20"/>
          <w:lang w:val="sv-SE"/>
        </w:rPr>
        <w:t xml:space="preserve"> </w:t>
      </w:r>
      <w:proofErr w:type="spellStart"/>
      <w:r w:rsidRPr="00475A35">
        <w:rPr>
          <w:sz w:val="20"/>
          <w:lang w:val="sv-SE"/>
        </w:rPr>
        <w:t>lanjut</w:t>
      </w:r>
      <w:proofErr w:type="spellEnd"/>
      <w:r w:rsidRPr="00475A35">
        <w:rPr>
          <w:sz w:val="20"/>
          <w:lang w:val="sv-SE"/>
        </w:rPr>
        <w:t xml:space="preserve">. Konsensus </w:t>
      </w:r>
      <w:proofErr w:type="spellStart"/>
      <w:r w:rsidRPr="00475A35">
        <w:rPr>
          <w:sz w:val="20"/>
          <w:lang w:val="sv-SE"/>
        </w:rPr>
        <w:t>ahli</w:t>
      </w:r>
      <w:proofErr w:type="spellEnd"/>
      <w:r w:rsidRPr="00475A35">
        <w:rPr>
          <w:sz w:val="20"/>
          <w:lang w:val="sv-SE"/>
        </w:rPr>
        <w:t xml:space="preserve"> </w:t>
      </w:r>
      <w:proofErr w:type="spellStart"/>
      <w:r w:rsidRPr="00475A35">
        <w:rPr>
          <w:sz w:val="20"/>
          <w:lang w:val="sv-SE"/>
        </w:rPr>
        <w:t>terkini</w:t>
      </w:r>
      <w:proofErr w:type="spellEnd"/>
      <w:r w:rsidRPr="00475A35">
        <w:rPr>
          <w:sz w:val="20"/>
          <w:lang w:val="sv-SE"/>
        </w:rPr>
        <w:t xml:space="preserve"> </w:t>
      </w:r>
      <w:proofErr w:type="spellStart"/>
      <w:r w:rsidRPr="00475A35">
        <w:rPr>
          <w:sz w:val="20"/>
          <w:lang w:val="sv-SE"/>
        </w:rPr>
        <w:t>merekomendasikan</w:t>
      </w:r>
      <w:proofErr w:type="spellEnd"/>
      <w:r w:rsidRPr="00475A35">
        <w:rPr>
          <w:sz w:val="20"/>
          <w:lang w:val="sv-SE"/>
        </w:rPr>
        <w:t xml:space="preserve"> terapi </w:t>
      </w:r>
      <w:proofErr w:type="spellStart"/>
      <w:r w:rsidRPr="00475A35">
        <w:rPr>
          <w:sz w:val="20"/>
          <w:lang w:val="sv-SE"/>
        </w:rPr>
        <w:t>lini</w:t>
      </w:r>
      <w:proofErr w:type="spellEnd"/>
      <w:r w:rsidRPr="00475A35">
        <w:rPr>
          <w:sz w:val="20"/>
          <w:lang w:val="sv-SE"/>
        </w:rPr>
        <w:t xml:space="preserve"> </w:t>
      </w:r>
      <w:proofErr w:type="spellStart"/>
      <w:r w:rsidRPr="00475A35">
        <w:rPr>
          <w:sz w:val="20"/>
          <w:lang w:val="sv-SE"/>
        </w:rPr>
        <w:t>pertama</w:t>
      </w:r>
      <w:proofErr w:type="spellEnd"/>
      <w:r w:rsidRPr="00475A35">
        <w:rPr>
          <w:sz w:val="20"/>
          <w:lang w:val="sv-SE"/>
        </w:rPr>
        <w:t xml:space="preserve"> yang </w:t>
      </w:r>
      <w:proofErr w:type="spellStart"/>
      <w:r w:rsidRPr="00475A35">
        <w:rPr>
          <w:sz w:val="20"/>
          <w:lang w:val="sv-SE"/>
        </w:rPr>
        <w:t>agresif</w:t>
      </w:r>
      <w:proofErr w:type="spellEnd"/>
      <w:r w:rsidRPr="00475A35">
        <w:rPr>
          <w:sz w:val="20"/>
          <w:lang w:val="sv-SE"/>
        </w:rPr>
        <w:t xml:space="preserve"> </w:t>
      </w:r>
      <w:proofErr w:type="spellStart"/>
      <w:r w:rsidRPr="00475A35">
        <w:rPr>
          <w:sz w:val="20"/>
          <w:lang w:val="sv-SE"/>
        </w:rPr>
        <w:t>dengan</w:t>
      </w:r>
      <w:proofErr w:type="spellEnd"/>
      <w:r w:rsidRPr="00475A35">
        <w:rPr>
          <w:sz w:val="20"/>
          <w:lang w:val="sv-SE"/>
        </w:rPr>
        <w:t xml:space="preserve"> </w:t>
      </w:r>
      <w:proofErr w:type="spellStart"/>
      <w:r w:rsidRPr="00475A35">
        <w:rPr>
          <w:sz w:val="20"/>
          <w:lang w:val="sv-SE"/>
        </w:rPr>
        <w:t>prednison</w:t>
      </w:r>
      <w:proofErr w:type="spellEnd"/>
      <w:r w:rsidRPr="00475A35">
        <w:rPr>
          <w:sz w:val="20"/>
          <w:lang w:val="sv-SE"/>
        </w:rPr>
        <w:t xml:space="preserve"> (</w:t>
      </w:r>
      <w:proofErr w:type="spellStart"/>
      <w:r w:rsidRPr="00475A35">
        <w:rPr>
          <w:sz w:val="20"/>
          <w:lang w:val="sv-SE"/>
        </w:rPr>
        <w:t>dengan</w:t>
      </w:r>
      <w:proofErr w:type="spellEnd"/>
      <w:r w:rsidRPr="00475A35">
        <w:rPr>
          <w:sz w:val="20"/>
          <w:lang w:val="sv-SE"/>
        </w:rPr>
        <w:t xml:space="preserve"> </w:t>
      </w:r>
      <w:proofErr w:type="spellStart"/>
      <w:r w:rsidRPr="00475A35">
        <w:rPr>
          <w:sz w:val="20"/>
          <w:lang w:val="sv-SE"/>
        </w:rPr>
        <w:t>atau</w:t>
      </w:r>
      <w:proofErr w:type="spellEnd"/>
      <w:r w:rsidRPr="00475A35">
        <w:rPr>
          <w:sz w:val="20"/>
          <w:lang w:val="sv-SE"/>
        </w:rPr>
        <w:t xml:space="preserve"> </w:t>
      </w:r>
      <w:proofErr w:type="spellStart"/>
      <w:r w:rsidRPr="00475A35">
        <w:rPr>
          <w:sz w:val="20"/>
          <w:lang w:val="sv-SE"/>
        </w:rPr>
        <w:t>tanpa</w:t>
      </w:r>
      <w:proofErr w:type="spellEnd"/>
      <w:r w:rsidRPr="00475A35">
        <w:rPr>
          <w:sz w:val="20"/>
          <w:lang w:val="sv-SE"/>
        </w:rPr>
        <w:t xml:space="preserve"> IVIG), </w:t>
      </w:r>
      <w:proofErr w:type="spellStart"/>
      <w:r w:rsidRPr="00475A35">
        <w:rPr>
          <w:sz w:val="20"/>
          <w:lang w:val="sv-SE"/>
        </w:rPr>
        <w:t>penggunaan</w:t>
      </w:r>
      <w:proofErr w:type="spellEnd"/>
      <w:r w:rsidRPr="00475A35">
        <w:rPr>
          <w:sz w:val="20"/>
          <w:lang w:val="sv-SE"/>
        </w:rPr>
        <w:t xml:space="preserve"> </w:t>
      </w:r>
      <w:proofErr w:type="spellStart"/>
      <w:r w:rsidRPr="00475A35">
        <w:rPr>
          <w:sz w:val="20"/>
          <w:lang w:val="sv-SE"/>
        </w:rPr>
        <w:t>rituximab</w:t>
      </w:r>
      <w:proofErr w:type="spellEnd"/>
      <w:r w:rsidRPr="00475A35">
        <w:rPr>
          <w:sz w:val="20"/>
          <w:lang w:val="sv-SE"/>
        </w:rPr>
        <w:t xml:space="preserve"> </w:t>
      </w:r>
      <w:proofErr w:type="spellStart"/>
      <w:r w:rsidRPr="00475A35">
        <w:rPr>
          <w:sz w:val="20"/>
          <w:lang w:val="sv-SE"/>
        </w:rPr>
        <w:t>pada</w:t>
      </w:r>
      <w:proofErr w:type="spellEnd"/>
      <w:r w:rsidRPr="00475A35">
        <w:rPr>
          <w:sz w:val="20"/>
          <w:lang w:val="sv-SE"/>
        </w:rPr>
        <w:t xml:space="preserve"> kasus-kasus </w:t>
      </w:r>
      <w:proofErr w:type="spellStart"/>
      <w:r w:rsidRPr="00475A35">
        <w:rPr>
          <w:sz w:val="20"/>
          <w:lang w:val="sv-SE"/>
        </w:rPr>
        <w:t>tertentu</w:t>
      </w:r>
      <w:proofErr w:type="spellEnd"/>
      <w:r w:rsidRPr="00475A35">
        <w:rPr>
          <w:sz w:val="20"/>
          <w:lang w:val="sv-SE"/>
        </w:rPr>
        <w:t xml:space="preserve">, agonis </w:t>
      </w:r>
      <w:proofErr w:type="spellStart"/>
      <w:r w:rsidRPr="00475A35">
        <w:rPr>
          <w:sz w:val="20"/>
          <w:lang w:val="sv-SE"/>
        </w:rPr>
        <w:t>reseptor</w:t>
      </w:r>
      <w:proofErr w:type="spellEnd"/>
      <w:r w:rsidRPr="00475A35">
        <w:rPr>
          <w:sz w:val="20"/>
          <w:lang w:val="sv-SE"/>
        </w:rPr>
        <w:t xml:space="preserve"> </w:t>
      </w:r>
      <w:proofErr w:type="spellStart"/>
      <w:r w:rsidRPr="00475A35">
        <w:rPr>
          <w:sz w:val="20"/>
          <w:lang w:val="sv-SE"/>
        </w:rPr>
        <w:t>trombopoietin</w:t>
      </w:r>
      <w:proofErr w:type="spellEnd"/>
      <w:r w:rsidRPr="00475A35">
        <w:rPr>
          <w:sz w:val="20"/>
          <w:lang w:val="sv-SE"/>
        </w:rPr>
        <w:t xml:space="preserve"> </w:t>
      </w:r>
      <w:proofErr w:type="spellStart"/>
      <w:r w:rsidRPr="00475A35">
        <w:rPr>
          <w:sz w:val="20"/>
          <w:lang w:val="sv-SE"/>
        </w:rPr>
        <w:t>untuk</w:t>
      </w:r>
      <w:proofErr w:type="spellEnd"/>
      <w:r w:rsidRPr="00475A35">
        <w:rPr>
          <w:sz w:val="20"/>
          <w:lang w:val="sv-SE"/>
        </w:rPr>
        <w:t xml:space="preserve"> </w:t>
      </w:r>
      <w:proofErr w:type="spellStart"/>
      <w:r w:rsidRPr="00475A35">
        <w:rPr>
          <w:sz w:val="20"/>
          <w:lang w:val="sv-SE"/>
        </w:rPr>
        <w:t>trombositopenia</w:t>
      </w:r>
      <w:proofErr w:type="spellEnd"/>
      <w:r w:rsidRPr="00475A35">
        <w:rPr>
          <w:sz w:val="20"/>
          <w:lang w:val="sv-SE"/>
        </w:rPr>
        <w:t xml:space="preserve"> </w:t>
      </w:r>
      <w:proofErr w:type="spellStart"/>
      <w:r w:rsidRPr="00475A35">
        <w:rPr>
          <w:sz w:val="20"/>
          <w:lang w:val="sv-SE"/>
        </w:rPr>
        <w:t>kronis</w:t>
      </w:r>
      <w:proofErr w:type="spellEnd"/>
      <w:r w:rsidRPr="00475A35">
        <w:rPr>
          <w:sz w:val="20"/>
          <w:lang w:val="sv-SE"/>
        </w:rPr>
        <w:t xml:space="preserve">, </w:t>
      </w:r>
      <w:proofErr w:type="gramStart"/>
      <w:r w:rsidRPr="00475A35">
        <w:rPr>
          <w:sz w:val="20"/>
          <w:lang w:val="sv-SE"/>
        </w:rPr>
        <w:t>dan terapi</w:t>
      </w:r>
      <w:proofErr w:type="gramEnd"/>
      <w:r w:rsidRPr="00475A35">
        <w:rPr>
          <w:sz w:val="20"/>
          <w:lang w:val="sv-SE"/>
        </w:rPr>
        <w:t xml:space="preserve"> </w:t>
      </w:r>
      <w:proofErr w:type="spellStart"/>
      <w:r w:rsidRPr="00475A35">
        <w:rPr>
          <w:sz w:val="20"/>
          <w:lang w:val="sv-SE"/>
        </w:rPr>
        <w:t>suportif</w:t>
      </w:r>
      <w:proofErr w:type="spellEnd"/>
      <w:r w:rsidRPr="00475A35">
        <w:rPr>
          <w:sz w:val="20"/>
          <w:lang w:val="sv-SE"/>
        </w:rPr>
        <w:t xml:space="preserve"> </w:t>
      </w:r>
      <w:proofErr w:type="spellStart"/>
      <w:r w:rsidRPr="00475A35">
        <w:rPr>
          <w:sz w:val="20"/>
          <w:lang w:val="sv-SE"/>
        </w:rPr>
        <w:t>termasuk</w:t>
      </w:r>
      <w:proofErr w:type="spellEnd"/>
      <w:r w:rsidRPr="00475A35">
        <w:rPr>
          <w:sz w:val="20"/>
          <w:lang w:val="sv-SE"/>
        </w:rPr>
        <w:t xml:space="preserve"> </w:t>
      </w:r>
      <w:proofErr w:type="spellStart"/>
      <w:r w:rsidRPr="00475A35">
        <w:rPr>
          <w:sz w:val="20"/>
          <w:lang w:val="sv-SE"/>
        </w:rPr>
        <w:t>transfusi</w:t>
      </w:r>
      <w:proofErr w:type="spellEnd"/>
      <w:r w:rsidRPr="00475A35">
        <w:rPr>
          <w:sz w:val="20"/>
          <w:lang w:val="sv-SE"/>
        </w:rPr>
        <w:t xml:space="preserve"> </w:t>
      </w:r>
      <w:proofErr w:type="gramStart"/>
      <w:r w:rsidRPr="00475A35">
        <w:rPr>
          <w:sz w:val="20"/>
          <w:lang w:val="sv-SE"/>
        </w:rPr>
        <w:t>dan</w:t>
      </w:r>
      <w:proofErr w:type="gramEnd"/>
      <w:r w:rsidRPr="00475A35">
        <w:rPr>
          <w:sz w:val="20"/>
          <w:lang w:val="sv-SE"/>
        </w:rPr>
        <w:t xml:space="preserve"> </w:t>
      </w:r>
      <w:proofErr w:type="spellStart"/>
      <w:r w:rsidRPr="00475A35">
        <w:rPr>
          <w:sz w:val="20"/>
          <w:lang w:val="sv-SE"/>
        </w:rPr>
        <w:t>profilaksis</w:t>
      </w:r>
      <w:proofErr w:type="spellEnd"/>
      <w:r w:rsidRPr="00475A35">
        <w:rPr>
          <w:sz w:val="20"/>
          <w:lang w:val="sv-SE"/>
        </w:rPr>
        <w:t xml:space="preserve"> </w:t>
      </w:r>
      <w:proofErr w:type="spellStart"/>
      <w:r w:rsidRPr="00475A35">
        <w:rPr>
          <w:sz w:val="20"/>
          <w:lang w:val="sv-SE"/>
        </w:rPr>
        <w:t>untuk</w:t>
      </w:r>
      <w:proofErr w:type="spellEnd"/>
      <w:r w:rsidRPr="00475A35">
        <w:rPr>
          <w:sz w:val="20"/>
          <w:lang w:val="sv-SE"/>
        </w:rPr>
        <w:t xml:space="preserve"> </w:t>
      </w:r>
      <w:proofErr w:type="spellStart"/>
      <w:r w:rsidRPr="00475A35">
        <w:rPr>
          <w:sz w:val="20"/>
          <w:lang w:val="sv-SE"/>
        </w:rPr>
        <w:t>mengoptimalkan</w:t>
      </w:r>
      <w:proofErr w:type="spellEnd"/>
      <w:r w:rsidRPr="00475A35">
        <w:rPr>
          <w:sz w:val="20"/>
          <w:lang w:val="sv-SE"/>
        </w:rPr>
        <w:t xml:space="preserve"> </w:t>
      </w:r>
      <w:proofErr w:type="spellStart"/>
      <w:r w:rsidRPr="00475A35">
        <w:rPr>
          <w:sz w:val="20"/>
          <w:lang w:val="sv-SE"/>
        </w:rPr>
        <w:t>hasil</w:t>
      </w:r>
      <w:proofErr w:type="spellEnd"/>
      <w:r w:rsidRPr="00475A35">
        <w:rPr>
          <w:sz w:val="20"/>
          <w:lang w:val="sv-SE"/>
        </w:rPr>
        <w:t xml:space="preserve"> </w:t>
      </w:r>
      <w:proofErr w:type="spellStart"/>
      <w:r w:rsidRPr="00475A35">
        <w:rPr>
          <w:sz w:val="20"/>
          <w:lang w:val="sv-SE"/>
        </w:rPr>
        <w:t>dalam</w:t>
      </w:r>
      <w:proofErr w:type="spellEnd"/>
      <w:r w:rsidRPr="00475A35">
        <w:rPr>
          <w:sz w:val="20"/>
          <w:lang w:val="sv-SE"/>
        </w:rPr>
        <w:t xml:space="preserve"> </w:t>
      </w:r>
      <w:proofErr w:type="spellStart"/>
      <w:r w:rsidRPr="00475A35">
        <w:rPr>
          <w:sz w:val="20"/>
          <w:lang w:val="sv-SE"/>
        </w:rPr>
        <w:t>penanganan</w:t>
      </w:r>
      <w:proofErr w:type="spellEnd"/>
      <w:r w:rsidRPr="00475A35">
        <w:rPr>
          <w:sz w:val="20"/>
          <w:lang w:val="sv-SE"/>
        </w:rPr>
        <w:t xml:space="preserve"> ES. </w:t>
      </w:r>
      <w:proofErr w:type="spellStart"/>
      <w:r w:rsidRPr="00475A35">
        <w:rPr>
          <w:sz w:val="20"/>
          <w:lang w:val="sv-SE"/>
        </w:rPr>
        <w:t>Pendekatan</w:t>
      </w:r>
      <w:proofErr w:type="spellEnd"/>
      <w:r w:rsidRPr="00475A35">
        <w:rPr>
          <w:sz w:val="20"/>
          <w:lang w:val="sv-SE"/>
        </w:rPr>
        <w:t xml:space="preserve"> </w:t>
      </w:r>
      <w:proofErr w:type="spellStart"/>
      <w:r w:rsidRPr="00475A35">
        <w:rPr>
          <w:sz w:val="20"/>
          <w:lang w:val="sv-SE"/>
        </w:rPr>
        <w:t>pengobatan</w:t>
      </w:r>
      <w:proofErr w:type="spellEnd"/>
      <w:r w:rsidRPr="00475A35">
        <w:rPr>
          <w:sz w:val="20"/>
          <w:lang w:val="sv-SE"/>
        </w:rPr>
        <w:t xml:space="preserve"> </w:t>
      </w:r>
      <w:proofErr w:type="spellStart"/>
      <w:r w:rsidRPr="00475A35">
        <w:rPr>
          <w:sz w:val="20"/>
          <w:lang w:val="sv-SE"/>
        </w:rPr>
        <w:t>untuk</w:t>
      </w:r>
      <w:proofErr w:type="spellEnd"/>
      <w:r w:rsidRPr="00475A35">
        <w:rPr>
          <w:sz w:val="20"/>
          <w:lang w:val="sv-SE"/>
        </w:rPr>
        <w:t xml:space="preserve"> </w:t>
      </w:r>
      <w:proofErr w:type="spellStart"/>
      <w:r w:rsidRPr="00475A35">
        <w:rPr>
          <w:sz w:val="20"/>
          <w:lang w:val="sv-SE"/>
        </w:rPr>
        <w:t>pasien</w:t>
      </w:r>
      <w:proofErr w:type="spellEnd"/>
      <w:r w:rsidRPr="00475A35">
        <w:rPr>
          <w:sz w:val="20"/>
          <w:lang w:val="sv-SE"/>
        </w:rPr>
        <w:t xml:space="preserve"> yang </w:t>
      </w:r>
      <w:proofErr w:type="spellStart"/>
      <w:r w:rsidRPr="00475A35">
        <w:rPr>
          <w:sz w:val="20"/>
          <w:lang w:val="sv-SE"/>
        </w:rPr>
        <w:t>menderita</w:t>
      </w:r>
      <w:proofErr w:type="spellEnd"/>
      <w:r w:rsidRPr="00475A35">
        <w:rPr>
          <w:sz w:val="20"/>
          <w:lang w:val="sv-SE"/>
        </w:rPr>
        <w:t xml:space="preserve"> ES </w:t>
      </w:r>
      <w:proofErr w:type="spellStart"/>
      <w:r w:rsidRPr="00475A35">
        <w:rPr>
          <w:sz w:val="20"/>
          <w:lang w:val="sv-SE"/>
        </w:rPr>
        <w:t>harus</w:t>
      </w:r>
      <w:proofErr w:type="spellEnd"/>
      <w:r w:rsidRPr="00475A35">
        <w:rPr>
          <w:sz w:val="20"/>
          <w:lang w:val="sv-SE"/>
        </w:rPr>
        <w:t xml:space="preserve"> </w:t>
      </w:r>
      <w:proofErr w:type="spellStart"/>
      <w:r w:rsidRPr="00475A35">
        <w:rPr>
          <w:sz w:val="20"/>
          <w:lang w:val="sv-SE"/>
        </w:rPr>
        <w:t>mengarah</w:t>
      </w:r>
      <w:proofErr w:type="spellEnd"/>
      <w:r w:rsidRPr="00475A35">
        <w:rPr>
          <w:sz w:val="20"/>
          <w:lang w:val="sv-SE"/>
        </w:rPr>
        <w:t xml:space="preserve"> </w:t>
      </w:r>
      <w:proofErr w:type="spellStart"/>
      <w:r w:rsidRPr="00475A35">
        <w:rPr>
          <w:sz w:val="20"/>
          <w:lang w:val="sv-SE"/>
        </w:rPr>
        <w:t>pada</w:t>
      </w:r>
      <w:proofErr w:type="spellEnd"/>
      <w:r w:rsidRPr="00475A35">
        <w:rPr>
          <w:sz w:val="20"/>
          <w:lang w:val="sv-SE"/>
        </w:rPr>
        <w:t xml:space="preserve"> </w:t>
      </w:r>
      <w:proofErr w:type="spellStart"/>
      <w:r w:rsidRPr="00475A35">
        <w:rPr>
          <w:sz w:val="20"/>
          <w:lang w:val="sv-SE"/>
        </w:rPr>
        <w:t>remisi</w:t>
      </w:r>
      <w:proofErr w:type="spellEnd"/>
      <w:r w:rsidRPr="00475A35">
        <w:rPr>
          <w:sz w:val="20"/>
          <w:lang w:val="sv-SE"/>
        </w:rPr>
        <w:t xml:space="preserve"> yang </w:t>
      </w:r>
      <w:proofErr w:type="spellStart"/>
      <w:r w:rsidRPr="00475A35">
        <w:rPr>
          <w:sz w:val="20"/>
          <w:lang w:val="sv-SE"/>
        </w:rPr>
        <w:t>bertahan</w:t>
      </w:r>
      <w:proofErr w:type="spellEnd"/>
      <w:r w:rsidRPr="00475A35">
        <w:rPr>
          <w:sz w:val="20"/>
          <w:lang w:val="sv-SE"/>
        </w:rPr>
        <w:t xml:space="preserve"> lama, </w:t>
      </w:r>
      <w:proofErr w:type="spellStart"/>
      <w:r w:rsidRPr="00475A35">
        <w:rPr>
          <w:sz w:val="20"/>
          <w:lang w:val="sv-SE"/>
        </w:rPr>
        <w:t>kekambuhan</w:t>
      </w:r>
      <w:proofErr w:type="spellEnd"/>
      <w:r w:rsidRPr="00475A35">
        <w:rPr>
          <w:sz w:val="20"/>
          <w:lang w:val="sv-SE"/>
        </w:rPr>
        <w:t xml:space="preserve"> yang </w:t>
      </w:r>
      <w:proofErr w:type="spellStart"/>
      <w:r w:rsidRPr="00475A35">
        <w:rPr>
          <w:sz w:val="20"/>
          <w:lang w:val="sv-SE"/>
        </w:rPr>
        <w:t>tidak</w:t>
      </w:r>
      <w:proofErr w:type="spellEnd"/>
      <w:r w:rsidRPr="00475A35">
        <w:rPr>
          <w:sz w:val="20"/>
          <w:lang w:val="sv-SE"/>
        </w:rPr>
        <w:t xml:space="preserve"> </w:t>
      </w:r>
      <w:proofErr w:type="spellStart"/>
      <w:r w:rsidRPr="00475A35">
        <w:rPr>
          <w:sz w:val="20"/>
          <w:lang w:val="sv-SE"/>
        </w:rPr>
        <w:t>terlalu</w:t>
      </w:r>
      <w:proofErr w:type="spellEnd"/>
      <w:r w:rsidRPr="00475A35">
        <w:rPr>
          <w:sz w:val="20"/>
          <w:lang w:val="sv-SE"/>
        </w:rPr>
        <w:t xml:space="preserve"> </w:t>
      </w:r>
      <w:proofErr w:type="spellStart"/>
      <w:r w:rsidRPr="00475A35">
        <w:rPr>
          <w:sz w:val="20"/>
          <w:lang w:val="sv-SE"/>
        </w:rPr>
        <w:t>parah</w:t>
      </w:r>
      <w:proofErr w:type="spellEnd"/>
      <w:r w:rsidRPr="00475A35">
        <w:rPr>
          <w:sz w:val="20"/>
          <w:lang w:val="sv-SE"/>
        </w:rPr>
        <w:t xml:space="preserve">, </w:t>
      </w:r>
      <w:proofErr w:type="gramStart"/>
      <w:r w:rsidRPr="00475A35">
        <w:rPr>
          <w:sz w:val="20"/>
          <w:lang w:val="sv-SE"/>
        </w:rPr>
        <w:t>dan</w:t>
      </w:r>
      <w:proofErr w:type="gramEnd"/>
      <w:r w:rsidRPr="00475A35">
        <w:rPr>
          <w:sz w:val="20"/>
          <w:lang w:val="sv-SE"/>
        </w:rPr>
        <w:t xml:space="preserve"> </w:t>
      </w:r>
      <w:proofErr w:type="spellStart"/>
      <w:r w:rsidRPr="00475A35">
        <w:rPr>
          <w:sz w:val="20"/>
          <w:lang w:val="sv-SE"/>
        </w:rPr>
        <w:t>peningkatan</w:t>
      </w:r>
      <w:proofErr w:type="spellEnd"/>
      <w:r w:rsidRPr="00475A35">
        <w:rPr>
          <w:sz w:val="20"/>
          <w:lang w:val="sv-SE"/>
        </w:rPr>
        <w:t xml:space="preserve"> </w:t>
      </w:r>
      <w:proofErr w:type="spellStart"/>
      <w:r w:rsidRPr="00475A35">
        <w:rPr>
          <w:sz w:val="20"/>
          <w:lang w:val="sv-SE"/>
        </w:rPr>
        <w:t>peluang</w:t>
      </w:r>
      <w:proofErr w:type="spellEnd"/>
      <w:r w:rsidRPr="00475A35">
        <w:rPr>
          <w:sz w:val="20"/>
          <w:lang w:val="sv-SE"/>
        </w:rPr>
        <w:t xml:space="preserve"> </w:t>
      </w:r>
      <w:proofErr w:type="spellStart"/>
      <w:r w:rsidRPr="00475A35">
        <w:rPr>
          <w:sz w:val="20"/>
          <w:lang w:val="sv-SE"/>
        </w:rPr>
        <w:t>untuk</w:t>
      </w:r>
      <w:proofErr w:type="spellEnd"/>
      <w:r w:rsidRPr="00475A35">
        <w:rPr>
          <w:sz w:val="20"/>
          <w:lang w:val="sv-SE"/>
        </w:rPr>
        <w:t xml:space="preserve"> </w:t>
      </w:r>
      <w:proofErr w:type="spellStart"/>
      <w:r w:rsidRPr="00475A35">
        <w:rPr>
          <w:sz w:val="20"/>
          <w:lang w:val="sv-SE"/>
        </w:rPr>
        <w:t>sembuh</w:t>
      </w:r>
      <w:proofErr w:type="spellEnd"/>
      <w:r w:rsidRPr="00475A35">
        <w:rPr>
          <w:sz w:val="20"/>
          <w:lang w:val="sv-SE"/>
        </w:rPr>
        <w:t xml:space="preserve">. Respons </w:t>
      </w:r>
      <w:proofErr w:type="spellStart"/>
      <w:r w:rsidRPr="00475A35">
        <w:rPr>
          <w:sz w:val="20"/>
          <w:lang w:val="sv-SE"/>
        </w:rPr>
        <w:t>lengkap</w:t>
      </w:r>
      <w:proofErr w:type="spellEnd"/>
      <w:r w:rsidRPr="00475A35">
        <w:rPr>
          <w:sz w:val="20"/>
          <w:lang w:val="sv-SE"/>
        </w:rPr>
        <w:t xml:space="preserve"> </w:t>
      </w:r>
      <w:proofErr w:type="spellStart"/>
      <w:r w:rsidRPr="00475A35">
        <w:rPr>
          <w:sz w:val="20"/>
          <w:lang w:val="sv-SE"/>
        </w:rPr>
        <w:t>didefinisikan</w:t>
      </w:r>
      <w:proofErr w:type="spellEnd"/>
      <w:r w:rsidRPr="00475A35">
        <w:rPr>
          <w:sz w:val="20"/>
          <w:lang w:val="sv-SE"/>
        </w:rPr>
        <w:t xml:space="preserve"> </w:t>
      </w:r>
      <w:proofErr w:type="spellStart"/>
      <w:r w:rsidRPr="00475A35">
        <w:rPr>
          <w:sz w:val="20"/>
          <w:lang w:val="sv-SE"/>
        </w:rPr>
        <w:t>sebagai</w:t>
      </w:r>
      <w:proofErr w:type="spellEnd"/>
      <w:r w:rsidRPr="00475A35">
        <w:rPr>
          <w:sz w:val="20"/>
          <w:lang w:val="sv-SE"/>
        </w:rPr>
        <w:t xml:space="preserve"> </w:t>
      </w:r>
      <w:proofErr w:type="spellStart"/>
      <w:r w:rsidRPr="00475A35">
        <w:rPr>
          <w:sz w:val="20"/>
          <w:lang w:val="sv-SE"/>
        </w:rPr>
        <w:t>tingkat</w:t>
      </w:r>
      <w:proofErr w:type="spellEnd"/>
      <w:r w:rsidRPr="00475A35">
        <w:rPr>
          <w:sz w:val="20"/>
          <w:lang w:val="sv-SE"/>
        </w:rPr>
        <w:t xml:space="preserve"> hemoglobin &gt; 12 g/</w:t>
      </w:r>
      <w:proofErr w:type="spellStart"/>
      <w:r w:rsidRPr="00475A35">
        <w:rPr>
          <w:sz w:val="20"/>
          <w:lang w:val="sv-SE"/>
        </w:rPr>
        <w:t>dL</w:t>
      </w:r>
      <w:proofErr w:type="spellEnd"/>
      <w:r w:rsidRPr="00475A35">
        <w:rPr>
          <w:sz w:val="20"/>
          <w:lang w:val="sv-SE"/>
        </w:rPr>
        <w:t xml:space="preserve"> </w:t>
      </w:r>
      <w:proofErr w:type="spellStart"/>
      <w:r w:rsidRPr="00475A35">
        <w:rPr>
          <w:sz w:val="20"/>
          <w:lang w:val="sv-SE"/>
        </w:rPr>
        <w:t>tanpa</w:t>
      </w:r>
      <w:proofErr w:type="spellEnd"/>
      <w:r w:rsidRPr="00475A35">
        <w:rPr>
          <w:sz w:val="20"/>
          <w:lang w:val="sv-SE"/>
        </w:rPr>
        <w:t xml:space="preserve"> </w:t>
      </w:r>
      <w:proofErr w:type="spellStart"/>
      <w:r w:rsidRPr="00475A35">
        <w:rPr>
          <w:sz w:val="20"/>
          <w:lang w:val="sv-SE"/>
        </w:rPr>
        <w:t>hemolisis</w:t>
      </w:r>
      <w:proofErr w:type="spellEnd"/>
      <w:r w:rsidRPr="00475A35">
        <w:rPr>
          <w:sz w:val="20"/>
          <w:lang w:val="sv-SE"/>
        </w:rPr>
        <w:t xml:space="preserve"> yang </w:t>
      </w:r>
      <w:proofErr w:type="spellStart"/>
      <w:r w:rsidRPr="00475A35">
        <w:rPr>
          <w:sz w:val="20"/>
          <w:lang w:val="sv-SE"/>
        </w:rPr>
        <w:t>sedang</w:t>
      </w:r>
      <w:proofErr w:type="spellEnd"/>
      <w:r w:rsidRPr="00475A35">
        <w:rPr>
          <w:sz w:val="20"/>
          <w:lang w:val="sv-SE"/>
        </w:rPr>
        <w:t xml:space="preserve"> </w:t>
      </w:r>
      <w:proofErr w:type="spellStart"/>
      <w:r w:rsidRPr="00475A35">
        <w:rPr>
          <w:sz w:val="20"/>
          <w:lang w:val="sv-SE"/>
        </w:rPr>
        <w:t>berlangsung</w:t>
      </w:r>
      <w:proofErr w:type="spellEnd"/>
      <w:r w:rsidRPr="00475A35">
        <w:rPr>
          <w:sz w:val="20"/>
          <w:lang w:val="sv-SE"/>
        </w:rPr>
        <w:t xml:space="preserve"> dan </w:t>
      </w:r>
      <w:proofErr w:type="spellStart"/>
      <w:r w:rsidRPr="00475A35">
        <w:rPr>
          <w:sz w:val="20"/>
          <w:lang w:val="sv-SE"/>
        </w:rPr>
        <w:t>jumlah</w:t>
      </w:r>
      <w:proofErr w:type="spellEnd"/>
      <w:r w:rsidRPr="00475A35">
        <w:rPr>
          <w:sz w:val="20"/>
          <w:lang w:val="sv-SE"/>
        </w:rPr>
        <w:t xml:space="preserve"> </w:t>
      </w:r>
      <w:proofErr w:type="spellStart"/>
      <w:r w:rsidRPr="00475A35">
        <w:rPr>
          <w:sz w:val="20"/>
          <w:lang w:val="sv-SE"/>
        </w:rPr>
        <w:t>trombosit</w:t>
      </w:r>
      <w:proofErr w:type="spellEnd"/>
      <w:r w:rsidRPr="00475A35">
        <w:rPr>
          <w:sz w:val="20"/>
          <w:lang w:val="sv-SE"/>
        </w:rPr>
        <w:t xml:space="preserve"> ≥ 100 x 10^9/L. </w:t>
      </w:r>
      <w:proofErr w:type="spellStart"/>
      <w:r w:rsidRPr="00475A35">
        <w:rPr>
          <w:sz w:val="20"/>
          <w:lang w:val="sv-SE"/>
        </w:rPr>
        <w:t>Jika</w:t>
      </w:r>
      <w:proofErr w:type="spellEnd"/>
      <w:r w:rsidRPr="00475A35">
        <w:rPr>
          <w:sz w:val="20"/>
          <w:lang w:val="sv-SE"/>
        </w:rPr>
        <w:t xml:space="preserve"> dosis </w:t>
      </w:r>
      <w:proofErr w:type="spellStart"/>
      <w:r w:rsidRPr="00475A35">
        <w:rPr>
          <w:sz w:val="20"/>
          <w:lang w:val="sv-SE"/>
        </w:rPr>
        <w:t>prednison</w:t>
      </w:r>
      <w:proofErr w:type="spellEnd"/>
      <w:r w:rsidRPr="00475A35">
        <w:rPr>
          <w:sz w:val="20"/>
          <w:lang w:val="sv-SE"/>
        </w:rPr>
        <w:t xml:space="preserve"> </w:t>
      </w:r>
      <w:proofErr w:type="spellStart"/>
      <w:r w:rsidRPr="00475A35">
        <w:rPr>
          <w:sz w:val="20"/>
          <w:lang w:val="sv-SE"/>
        </w:rPr>
        <w:t>harian</w:t>
      </w:r>
      <w:proofErr w:type="spellEnd"/>
      <w:r w:rsidRPr="00475A35">
        <w:rPr>
          <w:sz w:val="20"/>
          <w:lang w:val="sv-SE"/>
        </w:rPr>
        <w:t xml:space="preserve"> ≤ 10 mg </w:t>
      </w:r>
      <w:proofErr w:type="spellStart"/>
      <w:r w:rsidRPr="00475A35">
        <w:rPr>
          <w:sz w:val="20"/>
          <w:lang w:val="sv-SE"/>
        </w:rPr>
        <w:t>cukup</w:t>
      </w:r>
      <w:proofErr w:type="spellEnd"/>
      <w:r w:rsidRPr="00475A35">
        <w:rPr>
          <w:sz w:val="20"/>
          <w:lang w:val="sv-SE"/>
        </w:rPr>
        <w:t xml:space="preserve"> </w:t>
      </w:r>
      <w:proofErr w:type="spellStart"/>
      <w:r w:rsidRPr="00475A35">
        <w:rPr>
          <w:sz w:val="20"/>
          <w:lang w:val="sv-SE"/>
        </w:rPr>
        <w:t>untuk</w:t>
      </w:r>
      <w:proofErr w:type="spellEnd"/>
      <w:r w:rsidRPr="00475A35">
        <w:rPr>
          <w:sz w:val="20"/>
          <w:lang w:val="sv-SE"/>
        </w:rPr>
        <w:t xml:space="preserve"> </w:t>
      </w:r>
      <w:proofErr w:type="spellStart"/>
      <w:r w:rsidRPr="00475A35">
        <w:rPr>
          <w:sz w:val="20"/>
          <w:lang w:val="sv-SE"/>
        </w:rPr>
        <w:t>mempertahankan</w:t>
      </w:r>
      <w:proofErr w:type="spellEnd"/>
      <w:r w:rsidRPr="00475A35">
        <w:rPr>
          <w:sz w:val="20"/>
          <w:lang w:val="sv-SE"/>
        </w:rPr>
        <w:t xml:space="preserve"> hemoglobin di </w:t>
      </w:r>
      <w:proofErr w:type="spellStart"/>
      <w:r w:rsidRPr="00475A35">
        <w:rPr>
          <w:sz w:val="20"/>
          <w:lang w:val="sv-SE"/>
        </w:rPr>
        <w:t>atas</w:t>
      </w:r>
      <w:proofErr w:type="spellEnd"/>
      <w:r w:rsidRPr="00475A35">
        <w:rPr>
          <w:sz w:val="20"/>
          <w:lang w:val="sv-SE"/>
        </w:rPr>
        <w:t xml:space="preserve"> 10 g/</w:t>
      </w:r>
      <w:proofErr w:type="spellStart"/>
      <w:r w:rsidRPr="00475A35">
        <w:rPr>
          <w:sz w:val="20"/>
          <w:lang w:val="sv-SE"/>
        </w:rPr>
        <w:t>dL</w:t>
      </w:r>
      <w:proofErr w:type="spellEnd"/>
      <w:r w:rsidRPr="00475A35">
        <w:rPr>
          <w:sz w:val="20"/>
          <w:lang w:val="sv-SE"/>
        </w:rPr>
        <w:t xml:space="preserve"> dan </w:t>
      </w:r>
      <w:proofErr w:type="spellStart"/>
      <w:r w:rsidRPr="00475A35">
        <w:rPr>
          <w:sz w:val="20"/>
          <w:lang w:val="sv-SE"/>
        </w:rPr>
        <w:t>jumlah</w:t>
      </w:r>
      <w:proofErr w:type="spellEnd"/>
      <w:r w:rsidRPr="00475A35">
        <w:rPr>
          <w:sz w:val="20"/>
          <w:lang w:val="sv-SE"/>
        </w:rPr>
        <w:t xml:space="preserve"> </w:t>
      </w:r>
      <w:proofErr w:type="spellStart"/>
      <w:r w:rsidRPr="00475A35">
        <w:rPr>
          <w:sz w:val="20"/>
          <w:lang w:val="sv-SE"/>
        </w:rPr>
        <w:t>trombosit</w:t>
      </w:r>
      <w:proofErr w:type="spellEnd"/>
      <w:r w:rsidRPr="00475A35">
        <w:rPr>
          <w:sz w:val="20"/>
          <w:lang w:val="sv-SE"/>
        </w:rPr>
        <w:t xml:space="preserve"> &gt; 30 x 10^9/L, maka dosis </w:t>
      </w:r>
      <w:proofErr w:type="spellStart"/>
      <w:r w:rsidRPr="00475A35">
        <w:rPr>
          <w:sz w:val="20"/>
          <w:lang w:val="sv-SE"/>
        </w:rPr>
        <w:t>tersebut</w:t>
      </w:r>
      <w:proofErr w:type="spellEnd"/>
      <w:r w:rsidRPr="00475A35">
        <w:rPr>
          <w:sz w:val="20"/>
          <w:lang w:val="sv-SE"/>
        </w:rPr>
        <w:t xml:space="preserve"> </w:t>
      </w:r>
      <w:proofErr w:type="spellStart"/>
      <w:r w:rsidRPr="00475A35">
        <w:rPr>
          <w:sz w:val="20"/>
          <w:lang w:val="sv-SE"/>
        </w:rPr>
        <w:t>dapat</w:t>
      </w:r>
      <w:proofErr w:type="spellEnd"/>
      <w:r w:rsidRPr="00475A35">
        <w:rPr>
          <w:sz w:val="20"/>
          <w:lang w:val="sv-SE"/>
        </w:rPr>
        <w:t xml:space="preserve"> </w:t>
      </w:r>
      <w:proofErr w:type="spellStart"/>
      <w:r w:rsidRPr="00475A35">
        <w:rPr>
          <w:sz w:val="20"/>
          <w:lang w:val="sv-SE"/>
        </w:rPr>
        <w:t>dipertahankan</w:t>
      </w:r>
      <w:proofErr w:type="spellEnd"/>
      <w:r w:rsidRPr="00475A35">
        <w:rPr>
          <w:sz w:val="20"/>
          <w:lang w:val="sv-SE"/>
        </w:rPr>
        <w:t xml:space="preserve"> </w:t>
      </w:r>
      <w:proofErr w:type="spellStart"/>
      <w:r w:rsidRPr="00475A35">
        <w:rPr>
          <w:sz w:val="20"/>
          <w:lang w:val="sv-SE"/>
        </w:rPr>
        <w:t>untuk</w:t>
      </w:r>
      <w:proofErr w:type="spellEnd"/>
      <w:r w:rsidRPr="00475A35">
        <w:rPr>
          <w:sz w:val="20"/>
          <w:lang w:val="sv-SE"/>
        </w:rPr>
        <w:t xml:space="preserve"> </w:t>
      </w:r>
      <w:proofErr w:type="spellStart"/>
      <w:r w:rsidRPr="00475A35">
        <w:rPr>
          <w:sz w:val="20"/>
          <w:lang w:val="sv-SE"/>
        </w:rPr>
        <w:t>jangka</w:t>
      </w:r>
      <w:proofErr w:type="spellEnd"/>
      <w:r w:rsidRPr="00475A35">
        <w:rPr>
          <w:sz w:val="20"/>
          <w:lang w:val="sv-SE"/>
        </w:rPr>
        <w:t xml:space="preserve"> </w:t>
      </w:r>
      <w:proofErr w:type="spellStart"/>
      <w:r w:rsidRPr="00475A35">
        <w:rPr>
          <w:sz w:val="20"/>
          <w:lang w:val="sv-SE"/>
        </w:rPr>
        <w:t>panjang</w:t>
      </w:r>
      <w:proofErr w:type="spellEnd"/>
      <w:r w:rsidRPr="00475A35">
        <w:rPr>
          <w:sz w:val="20"/>
          <w:lang w:val="sv-SE"/>
        </w:rPr>
        <w:t xml:space="preserve"> </w:t>
      </w:r>
      <w:r>
        <w:rPr>
          <w:sz w:val="20"/>
        </w:rPr>
        <w:fldChar w:fldCharType="begin" w:fldLock="1"/>
      </w:r>
      <w:r w:rsidR="00AE4DEC">
        <w:rPr>
          <w:sz w:val="20"/>
          <w:lang w:val="sv-SE"/>
        </w:rPr>
        <w:instrText>ADDIN CSL_CITATION {"citationItems":[{"id":"ITEM-1","itemData":{"DOI":"10.1016/j.hoc.2021.12.004","ISSN":"15581977","PMID":"35282950","author":[{"dropping-particle":"","family":"Michel","given":"Marc","non-dropping-particle":"","parse-names":false,"suffix":""}],"container-title":"Hematology/Oncology Clinics of North America","id":"ITEM-1","issue":"2","issued":{"date-parts":[["2022"]]},"page":"381-392","publisher":"Elsevier Inc.","title":"Adult Evans' Syndrome","type":"article-journal","volume":"36"},"uris":["http://www.mendeley.com/documents/?uuid=8e44b75e-01a5-452e-9eca-30e9a184b3df","http://www.mendeley.com/documents/?uuid=eadc2344-ac31-4a54-91e9-599c97aac1b0"]},{"id":"ITEM-2","itemData":{"DOI":"10.1182/bloodadvances.2021005610","ISSN":"24739537","PMID":"34592758","abstract":"Evans syndrome (ES) is a rare condition, defined as the presence of 2 autoimmune cytopenias, most frequently autoimmune hemolytic anemia and immune thrombocytopenia (ITP) and rarely autoimmune neutropenia. ES can be classified as primary or secondary to various conditions, including lymphoproliferative disorders, other systemic autoimmune diseases, and primary immunodeficiencies, particularly in children. In adult ES, little is known about clinical features, disease associations, and outcomes. In this retrospective international study, we analyzed 116 adult patients followed at 13 European tertiary centers, focusing on treatment requirements, occurrence of complications, and death. ES was secondary to or associated with underlying conditions in 24 cases (21%), mainly other autoimmune diseases and hematologic neoplasms. Bleeding occurred in 42% of patients, mainly low grade and at ITP onset. Almost all patients received first-line treatment (steroids with or without intravenous immunoglobulin), and 23% needed early additional therapy for primary refractoriness. Additional therapy lines included rituximab, splenectomy, immunosuppressants, thrombopoietin receptor agonists, and others, with response rates .80%. However, a remarkable number of relapses occurred, requiring $3 therapy lines in 54% of cases. Infections and thrombotic complications occurred in 33% and 21% of patients, respectively, mainly grade $3, and correlated with the number of therapy lines. In addition to age, other factors negatively affecting survival were severe anemia at onset and occurrence of relapse, infection, and thrombosis. These data show that adult ES is often severe and marked by a relapsing clinical course and potentially fatal complications, pinpointing the need for high clinical awareness, prompt therapy, and anti-infectious/anti-thrombotic prophylaxis.","author":[{"dropping-particle":"","family":"Fattizzo","given":"Bruno","non-dropping-particle":"","parse-names":false,"suffix":""},{"dropping-particle":"","family":"Michel","given":"Marc","non-dropping-particle":"","parse-names":false,"suffix":""},{"dropping-particle":"","family":"Giannotta","given":"Juri Alessandro","non-dropping-particle":"","parse-names":false,"suffix":""},{"dropping-particle":"","family":"Hansen","given":"Dennis Lund","non-dropping-particle":"","parse-names":false,"suffix":""},{"dropping-particle":"","family":"Arguello","given":"Maria","non-dropping-particle":"","parse-names":false,"suffix":""},{"dropping-particle":"","family":"Sutto","given":"Emanuele","non-dropping-particle":"","parse-names":false,"suffix":""},{"dropping-particle":"","family":"Bianchetti","given":"Nicola","non-dropping-particle":"","parse-names":false,"suffix":""},{"dropping-particle":"","family":"Patriarca","given":"Andrea","non-dropping-particle":"","parse-names":false,"suffix":""},{"dropping-particle":"","family":"Cantoni","given":"Silvia","non-dropping-particle":"","parse-names":false,"suffix":""},{"dropping-particle":"","family":"Mingot-Castellano","given":"Marıa Eva","non-dropping-particle":"","parse-names":false,"suffix":""},{"dropping-particle":"","family":"McDonald","given":"Vickie","non-dropping-particle":"","parse-names":false,"suffix":""},{"dropping-particle":"","family":"Capecchi","given":"Marco","non-dropping-particle":"","parse-names":false,"suffix":""},{"dropping-particle":"","family":"Zaninoni","given":"Anna","non-dropping-particle":"","parse-names":false,"suffix":""},{"dropping-particle":"","family":"Consonni","given":"Dario","non-dropping-particle":"","parse-names":false,"suffix":""},{"dropping-particle":"","family":"Vos","given":"Josephine Mathilde","non-dropping-particle":"","parse-names":false,"suffix":""},{"dropping-particle":"","family":"Vianelli","given":"Nicola","non-dropping-particle":"","parse-names":false,"suffix":""},{"dropping-particle":"","family":"Chen","given":"Frederick","non-dropping-particle":"","parse-names":false,"suffix":""},{"dropping-particle":"","family":"Glenthøj","given":"Andreas","non-dropping-particle":"","parse-names":false,"suffix":""},{"dropping-particle":"","family":"Frederiksen","given":"Henrik","non-dropping-particle":"","parse-names":false,"suffix":""},{"dropping-particle":"","family":"Gonzalez-Lopez","given":"Tomas Jose","non-dropping-particle":"","parse-names":false,"suffix":""},{"dropping-particle":"","family":"Barcellini","given":"Wilma","non-dropping-particle":"","parse-names":false,"suffix":""}],"container-title":"Blood Advances","id":"ITEM-2","issue":"24","issued":{"date-parts":[["2021"]]},"page":"5468-5478","title":"Evans syndrome in adults: an observational multicenter study","type":"article-journal","volume":"5"},"uris":["http://www.mendeley.com/documents/?uuid=0e52c6fe-07f9-461e-94b4-fc23299afae4","http://www.mendeley.com/documents/?uuid=3d5cb8b8-cb7b-478e-ac69-1b3ffdea266b","http://www.mendeley.com/documents/?uuid=ef48fc83-60fe-4322-8012-c53ab1e31455"]},{"id":"ITEM-3","itemData":{"DOI":"10.3390/jcm9123851","ISSN":"20770383","PMID":"33260979","abstract":"Evans’ syndrome (ES) is defined as the concomitant or sequential association of warm auto-immune haemolytic anaemia (AIHA) with immune thrombocytopenia (ITP), and less frequently autoimmune neutropenia. ES is a rare situation that represents up to 7% of AIHA and around 2% of ITP. When AIHA and ITP occurred concomitantly, the diagnosis procedure must rule out differential diagnoses such as thrombotic microangiopathies, anaemia due to bleedings complicating ITP, vitamin deficiencies, myelodysplastic syndromes, paroxysmal nocturnal haemoglobinuria, or specific conditions like HELLP when occurring during pregnancy. As for isolated auto-immune cytopenia (AIC), the determination of the primary or secondary nature of ES is important. Indeed, the association of ES with other diseases such as haematological malignancies, systemic lupus erythematosus, infections, or primary immune deficiencies can interfere with its management or alter its prognosis. Due to the rarity of the disease, the treatment of ES is mostly extrapolated from what is recommended for isolated AIC and mostly relies on corticosteroids, rituximab, splenectomy, and supportive therapies. The place for thrombopoietin receptor agonists, erythropoietin, immunosuppressants, haematopoietic cell transplantation, and thromboprophylaxis is also discussed in this review. Despite continuous progress in the management of AIC and a gradual increase in ES survival, the mortality due to ES remains higher than the ones of isolated AIC, supporting the need for an improvement in ES management.","author":[{"dropping-particle":"","family":"Audia","given":"Sylvain","non-dropping-particle":"","parse-names":false,"suffix":""},{"dropping-particle":"","family":"Grienay","given":"Natacha","non-dropping-particle":"","parse-names":false,"suffix":""},{"dropping-particle":"","family":"Mounier","given":"Morgane","non-dropping-particle":"","parse-names":false,"suffix":""},{"dropping-particle":"","family":"Michel","given":"Marc","non-dropping-particle":"","parse-names":false,"suffix":""},{"dropping-particle":"","family":"Bonnotte","given":"Bernard","non-dropping-particle":"","parse-names":false,"suffix":""}],"container-title":"Journal of Clinical Medicine","id":"ITEM-3","issue":"12","issued":{"date-parts":[["2020"]]},"page":"1-22","title":"Evans’ syndrome: From diagnosis to treatment","type":"article-journal","volume":"9"},"uris":["http://www.mendeley.com/documents/?uuid=99e78dbf-8a8f-430b-bddb-a451279d1d77","http://www.mendeley.com/documents/?uuid=f8d1607d-9bb7-46ae-a3a5-b5dfe5fe482b","http://www.mendeley.com/documents/?uuid=0a4eccba-79ad-486b-81d0-db694d92702c"]}],"mendeley":{"formattedCitation":"[2,3,8]","plainTextFormattedCitation":"[2,3,8]","previouslyFormattedCitation":"(2,3,8)"},"properties":{"noteIndex":0},"schema":"https://github.com/citation-style-language/schema/raw/master/csl-citation.json"}</w:instrText>
      </w:r>
      <w:r>
        <w:rPr>
          <w:sz w:val="20"/>
        </w:rPr>
        <w:fldChar w:fldCharType="separate"/>
      </w:r>
      <w:r w:rsidR="00AE4DEC" w:rsidRPr="00B66C0E">
        <w:rPr>
          <w:sz w:val="20"/>
          <w:lang w:val="sv-SE"/>
        </w:rPr>
        <w:t>[2,3,8]</w:t>
      </w:r>
      <w:r>
        <w:rPr>
          <w:sz w:val="20"/>
        </w:rPr>
        <w:fldChar w:fldCharType="end"/>
      </w:r>
      <w:r w:rsidRPr="00B66C0E">
        <w:rPr>
          <w:sz w:val="20"/>
          <w:lang w:val="sv-SE"/>
        </w:rPr>
        <w:t>.</w:t>
      </w:r>
    </w:p>
    <w:p w14:paraId="2E530EBA" w14:textId="77777777" w:rsidR="00B66C0E" w:rsidRPr="00B66C0E" w:rsidRDefault="00B66C0E" w:rsidP="00671059">
      <w:pPr>
        <w:pStyle w:val="MDPI51figurecaption"/>
        <w:spacing w:before="0" w:after="0" w:line="240" w:lineRule="auto"/>
        <w:ind w:left="0" w:right="51" w:firstLine="720"/>
        <w:rPr>
          <w:b/>
          <w:bCs/>
          <w:sz w:val="20"/>
          <w:lang w:val="sv-SE"/>
        </w:rPr>
      </w:pPr>
    </w:p>
    <w:p w14:paraId="7D5ED659" w14:textId="591C078A" w:rsidR="0083570B" w:rsidRPr="00B66C0E" w:rsidRDefault="00B66C0E" w:rsidP="00D810A6">
      <w:pPr>
        <w:widowControl w:val="0"/>
        <w:autoSpaceDE w:val="0"/>
        <w:autoSpaceDN w:val="0"/>
        <w:adjustRightInd w:val="0"/>
        <w:spacing w:before="120" w:after="240" w:line="240" w:lineRule="auto"/>
        <w:jc w:val="both"/>
        <w:rPr>
          <w:rFonts w:ascii="Palatino Linotype" w:hAnsi="Palatino Linotype"/>
          <w:b/>
          <w:bCs/>
          <w:color w:val="000000"/>
          <w:sz w:val="20"/>
          <w:szCs w:val="20"/>
          <w:lang w:val="sv-SE"/>
        </w:rPr>
      </w:pPr>
      <w:r w:rsidRPr="00D810A6">
        <w:rPr>
          <w:rFonts w:ascii="Palatino Linotype" w:hAnsi="Palatino Linotype"/>
          <w:b/>
          <w:bCs/>
          <w:noProof w:val="0"/>
          <w:color w:val="4472C4" w:themeColor="accent1"/>
          <w:lang w:val="sv-SE"/>
        </w:rPr>
        <w:t>Kesimpulan</w:t>
      </w:r>
    </w:p>
    <w:p w14:paraId="19BE7BAA" w14:textId="2836B372" w:rsidR="00A24788" w:rsidRDefault="00671059" w:rsidP="00671059">
      <w:pPr>
        <w:spacing w:after="0" w:line="240" w:lineRule="auto"/>
        <w:ind w:firstLine="720"/>
        <w:jc w:val="both"/>
        <w:rPr>
          <w:rFonts w:ascii="Palatino Linotype" w:hAnsi="Palatino Linotype" w:cs="Times New Roman"/>
          <w:color w:val="000000"/>
          <w:sz w:val="20"/>
          <w:szCs w:val="20"/>
          <w:lang w:val="sv-SE"/>
        </w:rPr>
      </w:pPr>
      <w:r w:rsidRPr="00B66C0E">
        <w:rPr>
          <w:rFonts w:ascii="Palatino Linotype" w:hAnsi="Palatino Linotype" w:cs="Times New Roman"/>
          <w:color w:val="000000"/>
          <w:sz w:val="20"/>
          <w:szCs w:val="20"/>
          <w:lang w:val="sv-SE"/>
        </w:rPr>
        <w:t xml:space="preserve">Sindrom Evans merupakan penyakit autoimun langka yang kompleks, ditandai dengan kombinasi anemia hemolitik autoimun (AIHA) dan purpura trombositopenik imun (ITP), serta kadang-kadang disertai neutropenia. Penyakit ini bersifat kronis, sering kambuh, dan memiliki variasi klinis yang luas, sehingga </w:t>
      </w:r>
      <w:r w:rsidRPr="00B66C0E">
        <w:rPr>
          <w:rFonts w:ascii="Palatino Linotype" w:hAnsi="Palatino Linotype" w:cs="Times New Roman"/>
          <w:color w:val="000000"/>
          <w:sz w:val="20"/>
          <w:szCs w:val="20"/>
          <w:lang w:val="sv-SE"/>
        </w:rPr>
        <w:lastRenderedPageBreak/>
        <w:t xml:space="preserve">diagnosis dan tata laksananya menantang. </w:t>
      </w:r>
      <w:r w:rsidRPr="00475A35">
        <w:rPr>
          <w:rFonts w:ascii="Palatino Linotype" w:hAnsi="Palatino Linotype" w:cs="Times New Roman"/>
          <w:color w:val="000000"/>
          <w:sz w:val="20"/>
          <w:szCs w:val="20"/>
          <w:lang w:val="pt-PT"/>
        </w:rPr>
        <w:t xml:space="preserve">Sampai saat ini, belum ada protokol terapi standar yang diterima secara universal untuk sindrom Evans. Penatalaksanaan terapi bersifat individual, disesuaikan dengan manifestasi klinis dan respons pasien terhadap pengobatan. Terapi lini pertama umumnya menggunakan steroid, dengan atau tanpa imunoglobulin intravena (IVIG), tergantung dominasi gejala AIHA atau ITP. Jika terapi lini pertama gagal, lini kedua meliputi rituximab, agen imunosupresif, agonis reseptor trombopoetin, dan terapi biologis lain. Pada kasus berat dan refrakter, splenektomi atau transplantasi sel punca dapat dipertimbangkan sebagai terapi lini ketiga.Karena kelangkaan kasus, sebagian besar rekomendasi terapi sindrom Evans masih diekstrapolasi dari penatalaksanaan ITP atau AIHA terisolasi, dan belum tersedia uji klinis terkontrol yang spesifik. </w:t>
      </w:r>
      <w:r w:rsidRPr="00475A35">
        <w:rPr>
          <w:rFonts w:ascii="Palatino Linotype" w:hAnsi="Palatino Linotype" w:cs="Times New Roman"/>
          <w:color w:val="000000"/>
          <w:sz w:val="20"/>
          <w:szCs w:val="20"/>
          <w:lang w:val="sv-SE"/>
        </w:rPr>
        <w:t>Oleh karena itu, diperlukan pembaruan pengetahuan dan pendekatan berbasis bukti terbaru dalam tata laksana sindrom Evans. Kolaborasi multidisiplin dan pemantauan jangka panjang sangat penting untuk meningkatkan hasil klinis pasien.</w:t>
      </w:r>
    </w:p>
    <w:p w14:paraId="37357EE4" w14:textId="77777777" w:rsidR="00D810A6" w:rsidRPr="00475A35" w:rsidRDefault="00D810A6" w:rsidP="00671059">
      <w:pPr>
        <w:spacing w:after="0" w:line="240" w:lineRule="auto"/>
        <w:ind w:firstLine="720"/>
        <w:jc w:val="both"/>
        <w:rPr>
          <w:rFonts w:ascii="Palatino Linotype" w:hAnsi="Palatino Linotype" w:cs="Times New Roman"/>
          <w:color w:val="000000"/>
          <w:sz w:val="20"/>
          <w:szCs w:val="20"/>
          <w:lang w:val="sv-SE"/>
        </w:rPr>
      </w:pPr>
    </w:p>
    <w:p w14:paraId="6F983942" w14:textId="77777777" w:rsidR="00FC1B3A" w:rsidRPr="00B66C0E" w:rsidRDefault="00FC1B3A" w:rsidP="00B66C0E">
      <w:pPr>
        <w:widowControl w:val="0"/>
        <w:autoSpaceDE w:val="0"/>
        <w:autoSpaceDN w:val="0"/>
        <w:adjustRightInd w:val="0"/>
        <w:spacing w:before="120" w:after="240" w:line="240" w:lineRule="auto"/>
        <w:jc w:val="both"/>
        <w:rPr>
          <w:rFonts w:ascii="Palatino Linotype" w:hAnsi="Palatino Linotype"/>
          <w:b/>
          <w:bCs/>
          <w:i/>
          <w:iCs/>
          <w:noProof w:val="0"/>
          <w:color w:val="4472C4" w:themeColor="accent1"/>
          <w:lang w:val="sv-SE"/>
        </w:rPr>
      </w:pPr>
      <w:r w:rsidRPr="00B66C0E">
        <w:rPr>
          <w:rFonts w:ascii="Palatino Linotype" w:hAnsi="Palatino Linotype"/>
          <w:b/>
          <w:bCs/>
          <w:i/>
          <w:iCs/>
          <w:noProof w:val="0"/>
          <w:color w:val="4472C4" w:themeColor="accent1"/>
          <w:lang w:val="sv-SE"/>
        </w:rPr>
        <w:t>Conflict of Interest</w:t>
      </w:r>
    </w:p>
    <w:p w14:paraId="459CE532" w14:textId="3E97AFC2" w:rsidR="00671059" w:rsidRPr="00475A35" w:rsidRDefault="00671059" w:rsidP="00C06F36">
      <w:pPr>
        <w:pStyle w:val="MDPI62Acknowledgments"/>
        <w:spacing w:line="240" w:lineRule="auto"/>
        <w:ind w:firstLine="432"/>
        <w:rPr>
          <w:szCs w:val="18"/>
          <w:lang w:val="sv-SE"/>
        </w:rPr>
      </w:pPr>
      <w:proofErr w:type="spellStart"/>
      <w:r w:rsidRPr="00475A35">
        <w:rPr>
          <w:szCs w:val="18"/>
          <w:lang w:val="sv-SE"/>
        </w:rPr>
        <w:t>Penulis</w:t>
      </w:r>
      <w:proofErr w:type="spellEnd"/>
      <w:r w:rsidRPr="00475A35">
        <w:rPr>
          <w:szCs w:val="18"/>
          <w:lang w:val="sv-SE"/>
        </w:rPr>
        <w:t xml:space="preserve"> </w:t>
      </w:r>
      <w:proofErr w:type="spellStart"/>
      <w:r w:rsidRPr="00475A35">
        <w:rPr>
          <w:szCs w:val="18"/>
          <w:lang w:val="sv-SE"/>
        </w:rPr>
        <w:t>menyatakan</w:t>
      </w:r>
      <w:proofErr w:type="spellEnd"/>
      <w:r w:rsidRPr="00475A35">
        <w:rPr>
          <w:szCs w:val="18"/>
          <w:lang w:val="sv-SE"/>
        </w:rPr>
        <w:t xml:space="preserve"> </w:t>
      </w:r>
      <w:proofErr w:type="spellStart"/>
      <w:r w:rsidRPr="00475A35">
        <w:rPr>
          <w:szCs w:val="18"/>
          <w:lang w:val="sv-SE"/>
        </w:rPr>
        <w:t>dengan</w:t>
      </w:r>
      <w:proofErr w:type="spellEnd"/>
      <w:r w:rsidRPr="00475A35">
        <w:rPr>
          <w:szCs w:val="18"/>
          <w:lang w:val="sv-SE"/>
        </w:rPr>
        <w:t xml:space="preserve"> </w:t>
      </w:r>
      <w:proofErr w:type="spellStart"/>
      <w:r w:rsidRPr="00475A35">
        <w:rPr>
          <w:szCs w:val="18"/>
          <w:lang w:val="sv-SE"/>
        </w:rPr>
        <w:t>sebenarnya</w:t>
      </w:r>
      <w:proofErr w:type="spellEnd"/>
      <w:r w:rsidRPr="00475A35">
        <w:rPr>
          <w:szCs w:val="18"/>
          <w:lang w:val="sv-SE"/>
        </w:rPr>
        <w:t xml:space="preserve"> </w:t>
      </w:r>
      <w:proofErr w:type="spellStart"/>
      <w:r w:rsidRPr="00475A35">
        <w:rPr>
          <w:szCs w:val="18"/>
          <w:lang w:val="sv-SE"/>
        </w:rPr>
        <w:t>bahwa</w:t>
      </w:r>
      <w:proofErr w:type="spellEnd"/>
      <w:r w:rsidRPr="00475A35">
        <w:rPr>
          <w:szCs w:val="18"/>
          <w:lang w:val="sv-SE"/>
        </w:rPr>
        <w:t xml:space="preserve"> </w:t>
      </w:r>
      <w:proofErr w:type="spellStart"/>
      <w:r w:rsidRPr="00475A35">
        <w:rPr>
          <w:szCs w:val="18"/>
          <w:lang w:val="sv-SE"/>
        </w:rPr>
        <w:t>tidak</w:t>
      </w:r>
      <w:proofErr w:type="spellEnd"/>
      <w:r w:rsidRPr="00475A35">
        <w:rPr>
          <w:szCs w:val="18"/>
          <w:lang w:val="sv-SE"/>
        </w:rPr>
        <w:t xml:space="preserve"> </w:t>
      </w:r>
      <w:proofErr w:type="spellStart"/>
      <w:r w:rsidRPr="00475A35">
        <w:rPr>
          <w:szCs w:val="18"/>
          <w:lang w:val="sv-SE"/>
        </w:rPr>
        <w:t>ada</w:t>
      </w:r>
      <w:proofErr w:type="spellEnd"/>
      <w:r w:rsidRPr="00475A35">
        <w:rPr>
          <w:szCs w:val="18"/>
          <w:lang w:val="sv-SE"/>
        </w:rPr>
        <w:t xml:space="preserve"> </w:t>
      </w:r>
      <w:proofErr w:type="spellStart"/>
      <w:r w:rsidRPr="00475A35">
        <w:rPr>
          <w:szCs w:val="18"/>
          <w:lang w:val="sv-SE"/>
        </w:rPr>
        <w:t>potensi</w:t>
      </w:r>
      <w:proofErr w:type="spellEnd"/>
      <w:r w:rsidRPr="00475A35">
        <w:rPr>
          <w:szCs w:val="18"/>
          <w:lang w:val="sv-SE"/>
        </w:rPr>
        <w:t xml:space="preserve"> </w:t>
      </w:r>
      <w:proofErr w:type="spellStart"/>
      <w:r w:rsidRPr="00475A35">
        <w:rPr>
          <w:szCs w:val="18"/>
          <w:lang w:val="sv-SE"/>
        </w:rPr>
        <w:t>konflik</w:t>
      </w:r>
      <w:proofErr w:type="spellEnd"/>
      <w:r w:rsidRPr="00475A35">
        <w:rPr>
          <w:szCs w:val="18"/>
          <w:lang w:val="sv-SE"/>
        </w:rPr>
        <w:t xml:space="preserve"> </w:t>
      </w:r>
      <w:proofErr w:type="spellStart"/>
      <w:r w:rsidRPr="00475A35">
        <w:rPr>
          <w:szCs w:val="18"/>
          <w:lang w:val="sv-SE"/>
        </w:rPr>
        <w:t>kepentingan</w:t>
      </w:r>
      <w:proofErr w:type="spellEnd"/>
      <w:r w:rsidRPr="00475A35">
        <w:rPr>
          <w:szCs w:val="18"/>
          <w:lang w:val="sv-SE"/>
        </w:rPr>
        <w:t xml:space="preserve"> yang </w:t>
      </w:r>
      <w:proofErr w:type="spellStart"/>
      <w:r w:rsidRPr="00475A35">
        <w:rPr>
          <w:szCs w:val="18"/>
          <w:lang w:val="sv-SE"/>
        </w:rPr>
        <w:t>dapat</w:t>
      </w:r>
      <w:proofErr w:type="spellEnd"/>
      <w:r w:rsidRPr="00475A35">
        <w:rPr>
          <w:szCs w:val="18"/>
          <w:lang w:val="sv-SE"/>
        </w:rPr>
        <w:t xml:space="preserve"> </w:t>
      </w:r>
      <w:proofErr w:type="spellStart"/>
      <w:r w:rsidRPr="00475A35">
        <w:rPr>
          <w:szCs w:val="18"/>
          <w:lang w:val="sv-SE"/>
        </w:rPr>
        <w:t>mempengaruhi</w:t>
      </w:r>
      <w:proofErr w:type="spellEnd"/>
      <w:r w:rsidRPr="00475A35">
        <w:rPr>
          <w:szCs w:val="18"/>
          <w:lang w:val="sv-SE"/>
        </w:rPr>
        <w:t xml:space="preserve"> </w:t>
      </w:r>
      <w:proofErr w:type="spellStart"/>
      <w:r w:rsidRPr="00475A35">
        <w:rPr>
          <w:szCs w:val="18"/>
          <w:lang w:val="sv-SE"/>
        </w:rPr>
        <w:t>penelitian</w:t>
      </w:r>
      <w:proofErr w:type="spellEnd"/>
      <w:r w:rsidRPr="00475A35">
        <w:rPr>
          <w:szCs w:val="18"/>
          <w:lang w:val="sv-SE"/>
        </w:rPr>
        <w:t xml:space="preserve">, </w:t>
      </w:r>
      <w:proofErr w:type="spellStart"/>
      <w:r w:rsidRPr="00475A35">
        <w:rPr>
          <w:szCs w:val="18"/>
          <w:lang w:val="sv-SE"/>
        </w:rPr>
        <w:t>proses</w:t>
      </w:r>
      <w:proofErr w:type="spellEnd"/>
      <w:r w:rsidRPr="00475A35">
        <w:rPr>
          <w:szCs w:val="18"/>
          <w:lang w:val="sv-SE"/>
        </w:rPr>
        <w:t xml:space="preserve"> </w:t>
      </w:r>
      <w:proofErr w:type="spellStart"/>
      <w:r w:rsidRPr="00475A35">
        <w:rPr>
          <w:szCs w:val="18"/>
          <w:lang w:val="sv-SE"/>
        </w:rPr>
        <w:t>penulisan</w:t>
      </w:r>
      <w:proofErr w:type="spellEnd"/>
      <w:r w:rsidRPr="00475A35">
        <w:rPr>
          <w:szCs w:val="18"/>
          <w:lang w:val="sv-SE"/>
        </w:rPr>
        <w:t xml:space="preserve">, </w:t>
      </w:r>
      <w:proofErr w:type="spellStart"/>
      <w:r w:rsidRPr="00475A35">
        <w:rPr>
          <w:szCs w:val="18"/>
          <w:lang w:val="sv-SE"/>
        </w:rPr>
        <w:t>maupun</w:t>
      </w:r>
      <w:proofErr w:type="spellEnd"/>
      <w:r w:rsidRPr="00475A35">
        <w:rPr>
          <w:szCs w:val="18"/>
          <w:lang w:val="sv-SE"/>
        </w:rPr>
        <w:t xml:space="preserve"> </w:t>
      </w:r>
      <w:proofErr w:type="spellStart"/>
      <w:r w:rsidRPr="00475A35">
        <w:rPr>
          <w:szCs w:val="18"/>
          <w:lang w:val="sv-SE"/>
        </w:rPr>
        <w:t>publikasi</w:t>
      </w:r>
      <w:proofErr w:type="spellEnd"/>
      <w:r w:rsidRPr="00475A35">
        <w:rPr>
          <w:szCs w:val="18"/>
          <w:lang w:val="sv-SE"/>
        </w:rPr>
        <w:t xml:space="preserve"> artikel ini</w:t>
      </w:r>
    </w:p>
    <w:p w14:paraId="6234744A" w14:textId="77777777" w:rsidR="00671059" w:rsidRPr="00475A35" w:rsidRDefault="00671059" w:rsidP="00C06F36">
      <w:pPr>
        <w:pStyle w:val="MDPI62Acknowledgments"/>
        <w:spacing w:line="240" w:lineRule="auto"/>
        <w:ind w:firstLine="432"/>
        <w:rPr>
          <w:szCs w:val="18"/>
          <w:lang w:val="sv-SE"/>
        </w:rPr>
      </w:pPr>
    </w:p>
    <w:p w14:paraId="717A94ED" w14:textId="77777777" w:rsidR="00024F84" w:rsidRPr="00B66C0E" w:rsidRDefault="00024F84" w:rsidP="00B66C0E">
      <w:pPr>
        <w:widowControl w:val="0"/>
        <w:autoSpaceDE w:val="0"/>
        <w:autoSpaceDN w:val="0"/>
        <w:adjustRightInd w:val="0"/>
        <w:spacing w:before="120" w:after="240" w:line="240" w:lineRule="auto"/>
        <w:jc w:val="both"/>
        <w:rPr>
          <w:rFonts w:ascii="Palatino Linotype" w:hAnsi="Palatino Linotype"/>
          <w:b/>
          <w:bCs/>
          <w:i/>
          <w:iCs/>
          <w:color w:val="000000"/>
          <w:sz w:val="16"/>
          <w:szCs w:val="16"/>
          <w:lang w:val="sv-SE"/>
        </w:rPr>
      </w:pPr>
      <w:r w:rsidRPr="00B66C0E">
        <w:rPr>
          <w:rFonts w:ascii="Palatino Linotype" w:hAnsi="Palatino Linotype"/>
          <w:b/>
          <w:bCs/>
          <w:i/>
          <w:iCs/>
          <w:noProof w:val="0"/>
          <w:color w:val="4472C4" w:themeColor="accent1"/>
          <w:lang w:val="sv-SE"/>
        </w:rPr>
        <w:t>Acknowledgment</w:t>
      </w:r>
    </w:p>
    <w:p w14:paraId="06B03220" w14:textId="775527D8" w:rsidR="00024F84" w:rsidRPr="00475A35" w:rsidRDefault="00671059" w:rsidP="00024F84">
      <w:pPr>
        <w:pStyle w:val="MDPI62Acknowledgments"/>
        <w:spacing w:line="240" w:lineRule="auto"/>
        <w:ind w:firstLine="432"/>
        <w:rPr>
          <w:rFonts w:eastAsia="MS Mincho"/>
          <w:szCs w:val="18"/>
          <w:lang w:val="sv-SE"/>
        </w:rPr>
      </w:pPr>
      <w:proofErr w:type="spellStart"/>
      <w:r w:rsidRPr="00475A35">
        <w:rPr>
          <w:rFonts w:eastAsia="MS Mincho"/>
          <w:szCs w:val="18"/>
          <w:lang w:val="sv-SE"/>
        </w:rPr>
        <w:t>Penelitian</w:t>
      </w:r>
      <w:proofErr w:type="spellEnd"/>
      <w:r w:rsidRPr="00475A35">
        <w:rPr>
          <w:rFonts w:eastAsia="MS Mincho"/>
          <w:szCs w:val="18"/>
          <w:lang w:val="sv-SE"/>
        </w:rPr>
        <w:t xml:space="preserve"> ini </w:t>
      </w:r>
      <w:proofErr w:type="spellStart"/>
      <w:r w:rsidRPr="00475A35">
        <w:rPr>
          <w:rFonts w:eastAsia="MS Mincho"/>
          <w:szCs w:val="18"/>
          <w:lang w:val="sv-SE"/>
        </w:rPr>
        <w:t>dilakukan</w:t>
      </w:r>
      <w:proofErr w:type="spellEnd"/>
      <w:r w:rsidRPr="00475A35">
        <w:rPr>
          <w:rFonts w:eastAsia="MS Mincho"/>
          <w:szCs w:val="18"/>
          <w:lang w:val="sv-SE"/>
        </w:rPr>
        <w:t xml:space="preserve"> </w:t>
      </w:r>
      <w:proofErr w:type="spellStart"/>
      <w:r w:rsidRPr="00475A35">
        <w:rPr>
          <w:rFonts w:eastAsia="MS Mincho"/>
          <w:szCs w:val="18"/>
          <w:lang w:val="sv-SE"/>
        </w:rPr>
        <w:t>tanpa</w:t>
      </w:r>
      <w:proofErr w:type="spellEnd"/>
      <w:r w:rsidRPr="00475A35">
        <w:rPr>
          <w:rFonts w:eastAsia="MS Mincho"/>
          <w:szCs w:val="18"/>
          <w:lang w:val="sv-SE"/>
        </w:rPr>
        <w:t xml:space="preserve"> </w:t>
      </w:r>
      <w:proofErr w:type="spellStart"/>
      <w:r w:rsidRPr="00475A35">
        <w:rPr>
          <w:rFonts w:eastAsia="MS Mincho"/>
          <w:szCs w:val="18"/>
          <w:lang w:val="sv-SE"/>
        </w:rPr>
        <w:t>dukungan</w:t>
      </w:r>
      <w:proofErr w:type="spellEnd"/>
      <w:r w:rsidRPr="00475A35">
        <w:rPr>
          <w:rFonts w:eastAsia="MS Mincho"/>
          <w:szCs w:val="18"/>
          <w:lang w:val="sv-SE"/>
        </w:rPr>
        <w:t xml:space="preserve"> </w:t>
      </w:r>
      <w:proofErr w:type="spellStart"/>
      <w:r w:rsidRPr="00475A35">
        <w:rPr>
          <w:rFonts w:eastAsia="MS Mincho"/>
          <w:szCs w:val="18"/>
          <w:lang w:val="sv-SE"/>
        </w:rPr>
        <w:t>pendanaan</w:t>
      </w:r>
      <w:proofErr w:type="spellEnd"/>
      <w:r w:rsidRPr="00475A35">
        <w:rPr>
          <w:rFonts w:eastAsia="MS Mincho"/>
          <w:szCs w:val="18"/>
          <w:lang w:val="sv-SE"/>
        </w:rPr>
        <w:t xml:space="preserve"> dari </w:t>
      </w:r>
      <w:proofErr w:type="spellStart"/>
      <w:r w:rsidRPr="00475A35">
        <w:rPr>
          <w:rFonts w:eastAsia="MS Mincho"/>
          <w:szCs w:val="18"/>
          <w:lang w:val="sv-SE"/>
        </w:rPr>
        <w:t>hibah</w:t>
      </w:r>
      <w:proofErr w:type="spellEnd"/>
      <w:r w:rsidRPr="00475A35">
        <w:rPr>
          <w:rFonts w:eastAsia="MS Mincho"/>
          <w:szCs w:val="18"/>
          <w:lang w:val="sv-SE"/>
        </w:rPr>
        <w:t xml:space="preserve"> </w:t>
      </w:r>
      <w:proofErr w:type="spellStart"/>
      <w:r w:rsidRPr="00475A35">
        <w:rPr>
          <w:rFonts w:eastAsia="MS Mincho"/>
          <w:szCs w:val="18"/>
          <w:lang w:val="sv-SE"/>
        </w:rPr>
        <w:t>eksternal</w:t>
      </w:r>
      <w:proofErr w:type="spellEnd"/>
      <w:r w:rsidR="00024F84" w:rsidRPr="00475A35">
        <w:rPr>
          <w:rFonts w:eastAsia="MS Mincho"/>
          <w:szCs w:val="18"/>
          <w:lang w:val="sv-SE"/>
        </w:rPr>
        <w:t>.</w:t>
      </w:r>
    </w:p>
    <w:p w14:paraId="09867D85" w14:textId="0A623056" w:rsidR="009C6701" w:rsidRPr="00475A35" w:rsidRDefault="009C6701" w:rsidP="001F5114">
      <w:pPr>
        <w:spacing w:after="0" w:line="240" w:lineRule="auto"/>
        <w:jc w:val="both"/>
        <w:rPr>
          <w:rFonts w:ascii="Palatino Linotype" w:eastAsia="Times New Roman" w:hAnsi="Palatino Linotype" w:cs="Times New Roman"/>
          <w:color w:val="000000"/>
          <w:sz w:val="20"/>
          <w:szCs w:val="20"/>
          <w:lang w:val="sv-SE"/>
        </w:rPr>
      </w:pPr>
    </w:p>
    <w:p w14:paraId="500C41C5" w14:textId="78852FC8" w:rsidR="00C74608" w:rsidRPr="00B66C0E" w:rsidRDefault="00C06F36" w:rsidP="00B66C0E">
      <w:pPr>
        <w:widowControl w:val="0"/>
        <w:autoSpaceDE w:val="0"/>
        <w:autoSpaceDN w:val="0"/>
        <w:adjustRightInd w:val="0"/>
        <w:spacing w:before="120" w:after="240" w:line="240" w:lineRule="auto"/>
        <w:jc w:val="both"/>
        <w:rPr>
          <w:rFonts w:ascii="Palatino Linotype" w:hAnsi="Palatino Linotype"/>
          <w:b/>
          <w:bCs/>
          <w:noProof w:val="0"/>
          <w:color w:val="4472C4" w:themeColor="accent1"/>
          <w:lang w:val="sv-SE"/>
        </w:rPr>
      </w:pPr>
      <w:proofErr w:type="spellStart"/>
      <w:r w:rsidRPr="00B66C0E">
        <w:rPr>
          <w:rFonts w:ascii="Palatino Linotype" w:hAnsi="Palatino Linotype"/>
          <w:b/>
          <w:bCs/>
          <w:noProof w:val="0"/>
          <w:color w:val="4472C4" w:themeColor="accent1"/>
          <w:lang w:val="sv-SE"/>
        </w:rPr>
        <w:t>Refere</w:t>
      </w:r>
      <w:r w:rsidR="009213FB">
        <w:rPr>
          <w:rFonts w:ascii="Palatino Linotype" w:hAnsi="Palatino Linotype"/>
          <w:b/>
          <w:bCs/>
          <w:noProof w:val="0"/>
          <w:color w:val="4472C4" w:themeColor="accent1"/>
          <w:lang w:val="sv-SE"/>
        </w:rPr>
        <w:t>nsi</w:t>
      </w:r>
      <w:proofErr w:type="spellEnd"/>
    </w:p>
    <w:p w14:paraId="6B24D2E3" w14:textId="3AD8654F" w:rsidR="00AE4DEC" w:rsidRPr="00AE4DEC" w:rsidRDefault="00C74608" w:rsidP="00AE4DEC">
      <w:pPr>
        <w:widowControl w:val="0"/>
        <w:autoSpaceDE w:val="0"/>
        <w:autoSpaceDN w:val="0"/>
        <w:adjustRightInd w:val="0"/>
        <w:spacing w:after="0" w:line="240" w:lineRule="auto"/>
        <w:ind w:left="640" w:hanging="640"/>
        <w:rPr>
          <w:rFonts w:ascii="Palatino Linotype" w:hAnsi="Palatino Linotype" w:cs="Times New Roman"/>
          <w:sz w:val="18"/>
        </w:rPr>
      </w:pPr>
      <w:r>
        <w:rPr>
          <w:rFonts w:ascii="Palatino Linotype" w:hAnsi="Palatino Linotype"/>
          <w:sz w:val="18"/>
          <w:szCs w:val="18"/>
        </w:rPr>
        <w:fldChar w:fldCharType="begin" w:fldLock="1"/>
      </w:r>
      <w:r w:rsidRPr="00475A35">
        <w:rPr>
          <w:rFonts w:ascii="Palatino Linotype" w:hAnsi="Palatino Linotype"/>
          <w:sz w:val="18"/>
          <w:szCs w:val="18"/>
          <w:lang w:val="sv-SE"/>
        </w:rPr>
        <w:instrText xml:space="preserve">ADDIN Mendeley Bibliography CSL_BIBLIOGRAPHY </w:instrText>
      </w:r>
      <w:r>
        <w:rPr>
          <w:rFonts w:ascii="Palatino Linotype" w:hAnsi="Palatino Linotype"/>
          <w:sz w:val="18"/>
          <w:szCs w:val="18"/>
        </w:rPr>
        <w:fldChar w:fldCharType="separate"/>
      </w:r>
      <w:r w:rsidR="00AE4DEC" w:rsidRPr="00AE4DEC">
        <w:rPr>
          <w:rFonts w:ascii="Palatino Linotype" w:hAnsi="Palatino Linotype" w:cs="Times New Roman"/>
          <w:sz w:val="18"/>
        </w:rPr>
        <w:t>[1]</w:t>
      </w:r>
      <w:r w:rsidR="00AE4DEC" w:rsidRPr="00AE4DEC">
        <w:rPr>
          <w:rFonts w:ascii="Palatino Linotype" w:hAnsi="Palatino Linotype" w:cs="Times New Roman"/>
          <w:sz w:val="18"/>
        </w:rPr>
        <w:tab/>
        <w:t>Jaime-Pérez JC, Elva P, Aguilar-Calderón, Salazar-Cavazos L, Gómez-Almaguer D. Evans syndrome: Clinical perspectives, biological insights and treatment modalities. J Blood Med 2018;9:171–84. https://doi.org/10.2147/JBM.S176144.</w:t>
      </w:r>
    </w:p>
    <w:p w14:paraId="7EBB4958"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[2]</w:t>
      </w:r>
      <w:r w:rsidRPr="00AE4DEC">
        <w:rPr>
          <w:rFonts w:ascii="Palatino Linotype" w:hAnsi="Palatino Linotype" w:cs="Times New Roman"/>
          <w:sz w:val="18"/>
        </w:rPr>
        <w:tab/>
        <w:t>Audia S, Grienay N, Mounier M, Michel M, Bonnotte B. Evans’ syndrome: From diagnosis to treatment. J Clin Med 2020;9:1–22. https://doi.org/10.3390/jcm9123851.</w:t>
      </w:r>
    </w:p>
    <w:p w14:paraId="71F9B0F9"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[3]</w:t>
      </w:r>
      <w:r w:rsidRPr="00AE4DEC">
        <w:rPr>
          <w:rFonts w:ascii="Palatino Linotype" w:hAnsi="Palatino Linotype" w:cs="Times New Roman"/>
          <w:sz w:val="18"/>
        </w:rPr>
        <w:tab/>
        <w:t>Michel M. Adult Evans’ Syndrome. Hematol Oncol Clin North Am 2022;36:381–92. https://doi.org/10.1016/j.hoc.2021.12.004.</w:t>
      </w:r>
    </w:p>
    <w:p w14:paraId="130731FA"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[4]</w:t>
      </w:r>
      <w:r w:rsidRPr="00AE4DEC">
        <w:rPr>
          <w:rFonts w:ascii="Palatino Linotype" w:hAnsi="Palatino Linotype" w:cs="Times New Roman"/>
          <w:sz w:val="18"/>
        </w:rPr>
        <w:tab/>
        <w:t>Asadi S, Gholizadeh Z, Amirabadi H. A Comprehensive Review of the Pathological Mechanism of Evans Syndrome A Comprehensive Review of the Pathological Mechanism of Evans Syndrome 2024. https://doi.org/10.31579/2690-8794/207.</w:t>
      </w:r>
    </w:p>
    <w:p w14:paraId="1614FE7E"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[5]</w:t>
      </w:r>
      <w:r w:rsidRPr="00AE4DEC">
        <w:rPr>
          <w:rFonts w:ascii="Palatino Linotype" w:hAnsi="Palatino Linotype" w:cs="Times New Roman"/>
          <w:sz w:val="18"/>
        </w:rPr>
        <w:tab/>
        <w:t>Díaz-García JD, Carrera-Patiño FA. Evans syndrome: A purpose of a case. Rev M</w:t>
      </w:r>
      <w:r w:rsidRPr="00AE4DEC">
        <w:rPr>
          <w:rFonts w:ascii="Palatino Linotype" w:hAnsi="Palatino Linotype" w:cs="Palatino Linotype"/>
          <w:sz w:val="18"/>
        </w:rPr>
        <w:t>�</w:t>
      </w:r>
      <w:r w:rsidRPr="00AE4DEC">
        <w:rPr>
          <w:rFonts w:ascii="Palatino Linotype" w:hAnsi="Palatino Linotype" w:cs="Times New Roman"/>
          <w:sz w:val="18"/>
        </w:rPr>
        <w:t>dica Del Hosp Gen M</w:t>
      </w:r>
      <w:r w:rsidRPr="00AE4DEC">
        <w:rPr>
          <w:rFonts w:ascii="Palatino Linotype" w:hAnsi="Palatino Linotype" w:cs="Palatino Linotype"/>
          <w:sz w:val="18"/>
        </w:rPr>
        <w:t>�</w:t>
      </w:r>
      <w:r w:rsidRPr="00AE4DEC">
        <w:rPr>
          <w:rFonts w:ascii="Palatino Linotype" w:hAnsi="Palatino Linotype" w:cs="Times New Roman"/>
          <w:sz w:val="18"/>
        </w:rPr>
        <w:t>xico 2020;83:0–3. https://doi.org/10.24875/hgmx.19000073.</w:t>
      </w:r>
    </w:p>
    <w:p w14:paraId="3E73E3DE"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[6]</w:t>
      </w:r>
      <w:r w:rsidRPr="00AE4DEC">
        <w:rPr>
          <w:rFonts w:ascii="Palatino Linotype" w:hAnsi="Palatino Linotype" w:cs="Times New Roman"/>
          <w:sz w:val="18"/>
        </w:rPr>
        <w:tab/>
        <w:t>Kaluvai SI, V. RK, Y. D. A case of Evans syndrome. Int J Adv Med 2022;10:99. https://doi.org/10.18203/2349-3933.ijam20223409.</w:t>
      </w:r>
    </w:p>
    <w:p w14:paraId="7EF9890C"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[7]</w:t>
      </w:r>
      <w:r w:rsidRPr="00AE4DEC">
        <w:rPr>
          <w:rFonts w:ascii="Palatino Linotype" w:hAnsi="Palatino Linotype" w:cs="Times New Roman"/>
          <w:sz w:val="18"/>
        </w:rPr>
        <w:tab/>
        <w:t>Couri FS, Kandula M. A case of evans syndrome with acute hemolysis and hemoglobin cast nephropathy. Am J Case Rep 2020;21:1–4. https://doi.org/10.12659/AJCR.920760.</w:t>
      </w:r>
    </w:p>
    <w:p w14:paraId="460B838D"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[8]</w:t>
      </w:r>
      <w:r w:rsidRPr="00AE4DEC">
        <w:rPr>
          <w:rFonts w:ascii="Palatino Linotype" w:hAnsi="Palatino Linotype" w:cs="Times New Roman"/>
          <w:sz w:val="18"/>
        </w:rPr>
        <w:tab/>
        <w:t>Fattizzo B, Michel M, Giannotta JA, Hansen DL, Arguello M, Sutto E, et al. Evans syndrome in adults: an observational multicenter study. Blood Adv 2021;5:5468–78. https://doi.org/10.1182/bloodadvances.2021005610.</w:t>
      </w:r>
    </w:p>
    <w:p w14:paraId="42C28B2B"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[9]</w:t>
      </w:r>
      <w:r w:rsidRPr="00AE4DEC">
        <w:rPr>
          <w:rFonts w:ascii="Palatino Linotype" w:hAnsi="Palatino Linotype" w:cs="Times New Roman"/>
          <w:sz w:val="18"/>
        </w:rPr>
        <w:tab/>
        <w:t>Hansen DL, Möller S, Andersen K, Gaist D, Frederiksen H. Evans syndrome in adults - incidence, prevalence, and survival in a nationwide cohort. Am J Hematol 2019;94:1081–90. https://doi.org/10.1002/ajh.25574.</w:t>
      </w:r>
    </w:p>
    <w:p w14:paraId="3C61CD62"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[10]</w:t>
      </w:r>
      <w:r w:rsidRPr="00AE4DEC">
        <w:rPr>
          <w:rFonts w:ascii="Palatino Linotype" w:hAnsi="Palatino Linotype" w:cs="Times New Roman"/>
          <w:sz w:val="18"/>
        </w:rPr>
        <w:tab/>
        <w:t>Afriant R, Fikri AM, Kam A. Evans Syndrome in a Forty-Four Years Old Male Patient: A Case Report. Biosci Med  J Biomed Transl Res 2023;7:3226–9. https://doi.org/10.37275/bsm.v7i4.805.</w:t>
      </w:r>
    </w:p>
    <w:p w14:paraId="0F10FD80"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[11]</w:t>
      </w:r>
      <w:r w:rsidRPr="00AE4DEC">
        <w:rPr>
          <w:rFonts w:ascii="Palatino Linotype" w:hAnsi="Palatino Linotype" w:cs="Times New Roman"/>
          <w:sz w:val="18"/>
        </w:rPr>
        <w:tab/>
        <w:t>Blanco BP, Garanito MP. Pediatric Evans Syndrome: A 20-year experience from a tertiary center in Brazil. Hematol Transfus Cell Ther 2023;45:196–203. https://doi.org/10.1016/j.htct.2022.01.011.</w:t>
      </w:r>
    </w:p>
    <w:p w14:paraId="19D9C343"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[12]</w:t>
      </w:r>
      <w:r w:rsidRPr="00AE4DEC">
        <w:rPr>
          <w:rFonts w:ascii="Palatino Linotype" w:hAnsi="Palatino Linotype" w:cs="Times New Roman"/>
          <w:sz w:val="18"/>
        </w:rPr>
        <w:tab/>
        <w:t>Otaibi ZD, Rao R, Sadashiv SK. A Case of Evans Syndrome: A Clinical Condition With Under-Recognized Thrombotic Risk. J Hematol 2015;4:205–9. https://doi.org/10.14740/jh222w.</w:t>
      </w:r>
    </w:p>
    <w:p w14:paraId="522497D0"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[13]</w:t>
      </w:r>
      <w:r w:rsidRPr="00AE4DEC">
        <w:rPr>
          <w:rFonts w:ascii="Palatino Linotype" w:hAnsi="Palatino Linotype" w:cs="Times New Roman"/>
          <w:sz w:val="18"/>
        </w:rPr>
        <w:tab/>
        <w:t>Kim TO. Pathophysiology of immune thrombocytopenia. 2018. https://doi.org/10.1007/978-3-319-73269-5_2.</w:t>
      </w:r>
    </w:p>
    <w:p w14:paraId="60E0E26C"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[14]</w:t>
      </w:r>
      <w:r w:rsidRPr="00AE4DEC">
        <w:rPr>
          <w:rFonts w:ascii="Palatino Linotype" w:hAnsi="Palatino Linotype" w:cs="Times New Roman"/>
          <w:sz w:val="18"/>
        </w:rPr>
        <w:tab/>
        <w:t>Jaime-Pérez JC, Guerra-Leal LN, López-Razo ON, Méndez-Ramírez N, Gómez-Almaguer D. Experience with Evans syndrome in an academic referral center. Rev Bras Hematol Hemoter 2015;37:230–5. https://doi.org/10.1016/j.bjhh.2015.03.002.</w:t>
      </w:r>
    </w:p>
    <w:p w14:paraId="2E5B3D99"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[15]</w:t>
      </w:r>
      <w:r w:rsidRPr="00AE4DEC">
        <w:rPr>
          <w:rFonts w:ascii="Palatino Linotype" w:hAnsi="Palatino Linotype" w:cs="Times New Roman"/>
          <w:sz w:val="18"/>
        </w:rPr>
        <w:tab/>
        <w:t xml:space="preserve">Yulistiani, Dwiyatna S, Utomo FN. Mechanism of Actions, Efficacy, and Long-term Use of Steroids in </w:t>
      </w:r>
      <w:r w:rsidRPr="00AE4DEC">
        <w:rPr>
          <w:rFonts w:ascii="Palatino Linotype" w:hAnsi="Palatino Linotype" w:cs="Times New Roman"/>
          <w:sz w:val="18"/>
        </w:rPr>
        <w:lastRenderedPageBreak/>
        <w:t>Autoimmune Hemolytic Anemia (AIHA) 2023;7. https://doi.org/10.21705/mcbs.v7i3.345.</w:t>
      </w:r>
    </w:p>
    <w:p w14:paraId="7D56F3CA"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[16]</w:t>
      </w:r>
      <w:r w:rsidRPr="00AE4DEC">
        <w:rPr>
          <w:rFonts w:ascii="Palatino Linotype" w:hAnsi="Palatino Linotype" w:cs="Times New Roman"/>
          <w:sz w:val="18"/>
        </w:rPr>
        <w:tab/>
        <w:t>Fazeli P, Saeidnia M, Nezhad MA, Farzi A, Pooresmaeil N, Tamaddon G. Evans syndrome in the course of COVID-19 infection; essentials and approaches. Iran J Blood Cancer 2022;14:32–40.</w:t>
      </w:r>
    </w:p>
    <w:p w14:paraId="0BD38B17"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[17]</w:t>
      </w:r>
      <w:r w:rsidRPr="00AE4DEC">
        <w:rPr>
          <w:rFonts w:ascii="Palatino Linotype" w:hAnsi="Palatino Linotype" w:cs="Times New Roman"/>
          <w:sz w:val="18"/>
        </w:rPr>
        <w:tab/>
        <w:t>Kalfa TA. Warm antibody autoimmune hemolytic anemia. Hematol (United States) 2016;2016:690–7. https://doi.org/10.1182/asheducation-2016.1.690.</w:t>
      </w:r>
    </w:p>
    <w:p w14:paraId="4D8BAAD3"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[18]</w:t>
      </w:r>
      <w:r w:rsidRPr="00AE4DEC">
        <w:rPr>
          <w:rFonts w:ascii="Palatino Linotype" w:hAnsi="Palatino Linotype" w:cs="Times New Roman"/>
          <w:sz w:val="18"/>
        </w:rPr>
        <w:tab/>
        <w:t>Zhou J, Xu Y, Shu J, Jiang H, Huang L, Xu M, et al. GPIbα CAAR T cells function like a Trojan horse to eliminate autoreactive B cells to treat immune thrombocytopenia. Haematologica 2024;109:2256–70. https://doi.org/10.3324/haematol.2023.283874.</w:t>
      </w:r>
    </w:p>
    <w:p w14:paraId="022546B5"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[19]</w:t>
      </w:r>
      <w:r w:rsidRPr="00AE4DEC">
        <w:rPr>
          <w:rFonts w:ascii="Palatino Linotype" w:hAnsi="Palatino Linotype" w:cs="Times New Roman"/>
          <w:sz w:val="18"/>
        </w:rPr>
        <w:tab/>
        <w:t>Norton A, Roberts I. Management of Evans syndrome. Br J Haematol 2006;132:125–37. https://doi.org/10.1111/j.1365-2141.2005.05809.x.</w:t>
      </w:r>
    </w:p>
    <w:p w14:paraId="6B16505D"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[20]</w:t>
      </w:r>
      <w:r w:rsidRPr="00AE4DEC">
        <w:rPr>
          <w:rFonts w:ascii="Palatino Linotype" w:hAnsi="Palatino Linotype" w:cs="Times New Roman"/>
          <w:sz w:val="18"/>
        </w:rPr>
        <w:tab/>
        <w:t>Angelopoulos A, Kirkilesis G, Kakavia K, Papanikolaou P. Diagnosis of evans syndrome. Pan Afr Med J 2021;38. https://doi.org/10.11604/pamj.2021.38.314.22410.</w:t>
      </w:r>
    </w:p>
    <w:p w14:paraId="5215EBFC"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[21]</w:t>
      </w:r>
      <w:r w:rsidRPr="00AE4DEC">
        <w:rPr>
          <w:rFonts w:ascii="Palatino Linotype" w:hAnsi="Palatino Linotype" w:cs="Times New Roman"/>
          <w:sz w:val="18"/>
        </w:rPr>
        <w:tab/>
        <w:t>An J, Amaruntowa P, Ahmed W, Khan A, Shahzad M. Recurrent Infection in a Young Female Patient Recently Diagnosed With Primary Evans Syndrome Without Neutropenia. J Hematol 2024;13:121–4. https://doi.org/10.14740/jh1265.</w:t>
      </w:r>
    </w:p>
    <w:p w14:paraId="2E0AF831"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[22]</w:t>
      </w:r>
      <w:r w:rsidRPr="00AE4DEC">
        <w:rPr>
          <w:rFonts w:ascii="Palatino Linotype" w:hAnsi="Palatino Linotype" w:cs="Times New Roman"/>
          <w:sz w:val="18"/>
        </w:rPr>
        <w:tab/>
        <w:t>Dourmishev LA, Guleva D V., Miteva LG. Intravenous immunoglobulins: Mode of action and indications in autoimmune and inflammatory dermatoses. Int J Inflam 2016;2016. https://doi.org/10.1155/2016/3523057.</w:t>
      </w:r>
    </w:p>
    <w:p w14:paraId="75E03AE0"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[23]</w:t>
      </w:r>
      <w:r w:rsidRPr="00AE4DEC">
        <w:rPr>
          <w:rFonts w:ascii="Palatino Linotype" w:hAnsi="Palatino Linotype" w:cs="Times New Roman"/>
          <w:sz w:val="18"/>
        </w:rPr>
        <w:tab/>
        <w:t>Mizutani H, Furubayashi T, Imai Y, Kashiwagi H, Honda S, Take H, et al. Mechanisms of corticosteroid action in immune thrombocytopenic purpura (ITP): Experimental studies using ITP-prone mice, (NZW x BXSB) F1. Blood 1992;79:942–7. https://doi.org/10.1182/blood.v79.4.942.bloodjournal794942.</w:t>
      </w:r>
    </w:p>
    <w:p w14:paraId="363FA3BA"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[24]</w:t>
      </w:r>
      <w:r w:rsidRPr="00AE4DEC">
        <w:rPr>
          <w:rFonts w:ascii="Palatino Linotype" w:hAnsi="Palatino Linotype" w:cs="Times New Roman"/>
          <w:sz w:val="18"/>
        </w:rPr>
        <w:tab/>
        <w:t>Zanella A, Barcellini W. Treatment of autoimmune hemolytic anemias. Haematologica 2014;99:1547–54. https://doi.org/10.3324/haematol.2014.114561.</w:t>
      </w:r>
    </w:p>
    <w:p w14:paraId="4278F641"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[25]</w:t>
      </w:r>
      <w:r w:rsidRPr="00AE4DEC">
        <w:rPr>
          <w:rFonts w:ascii="Palatino Linotype" w:hAnsi="Palatino Linotype" w:cs="Times New Roman"/>
          <w:sz w:val="18"/>
        </w:rPr>
        <w:tab/>
        <w:t>Hilgartner MW, Bussel J. Use of intravenous gamma globulin for the treatment of autoimmune neutropenia of childhood and autoimmune hemolytic anemia. Am J Med 1987;83:25–9. https://doi.org/10.1016/0002-9343(87)90547-X.</w:t>
      </w:r>
    </w:p>
    <w:p w14:paraId="358BF3BB"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[26]</w:t>
      </w:r>
      <w:r w:rsidRPr="00AE4DEC">
        <w:rPr>
          <w:rFonts w:ascii="Palatino Linotype" w:hAnsi="Palatino Linotype" w:cs="Times New Roman"/>
          <w:sz w:val="18"/>
        </w:rPr>
        <w:tab/>
        <w:t>Demir NA, Basturk A, Ural O, Sumer S, Erdogdu B, Kiratli HE, et al. A case of Evans syndrome secondary to COVID-19. Blood Transfus 2021;19:85–8. https://doi.org/10.2450/2020.0221-20.</w:t>
      </w:r>
    </w:p>
    <w:p w14:paraId="551217C9"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[27]</w:t>
      </w:r>
      <w:r w:rsidRPr="00AE4DEC">
        <w:rPr>
          <w:rFonts w:ascii="Palatino Linotype" w:hAnsi="Palatino Linotype" w:cs="Times New Roman"/>
          <w:sz w:val="18"/>
        </w:rPr>
        <w:tab/>
        <w:t>Chi YP, Choon HC. A patient with mixed type Evans syndrome: Efficacy of rituximab treatment. J Korean Med Sci 2006;21:1115–6. https://doi.org/10.3346/jkms.2006.21.6.1115.</w:t>
      </w:r>
    </w:p>
    <w:p w14:paraId="32276578"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[28]</w:t>
      </w:r>
      <w:r w:rsidRPr="00AE4DEC">
        <w:rPr>
          <w:rFonts w:ascii="Palatino Linotype" w:hAnsi="Palatino Linotype" w:cs="Times New Roman"/>
          <w:sz w:val="18"/>
        </w:rPr>
        <w:tab/>
        <w:t>Zecca M, Nobili B, Ramenghi U, Perrotta S, Amendola G, Rosito P, et al. Rituximab for the treatment of refractory autoimmune hemolytic anemia in children. Blood 2003;101:3857–61. https://doi.org/10.1182/blood-2002-11-3547.</w:t>
      </w:r>
    </w:p>
    <w:p w14:paraId="2C6C7234"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[29]</w:t>
      </w:r>
      <w:r w:rsidRPr="00AE4DEC">
        <w:rPr>
          <w:rFonts w:ascii="Palatino Linotype" w:hAnsi="Palatino Linotype" w:cs="Times New Roman"/>
          <w:sz w:val="18"/>
        </w:rPr>
        <w:tab/>
        <w:t>Bader-Meunier B, Aladjidi N, Bellmann F, Monpoux F, Nelken B, Robert A, et al. Rituximab therapy for childhood Evans syndrome. Haematologica 2007;92:1691–4. https://doi.org/10.3324/haematol.11540.</w:t>
      </w:r>
    </w:p>
    <w:p w14:paraId="576604EA"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[30]</w:t>
      </w:r>
      <w:r w:rsidRPr="00AE4DEC">
        <w:rPr>
          <w:rFonts w:ascii="Palatino Linotype" w:hAnsi="Palatino Linotype" w:cs="Times New Roman"/>
          <w:sz w:val="18"/>
        </w:rPr>
        <w:tab/>
        <w:t>Bradbury CA, Pell J, Hill Q, Bagot C, Cooper N, Ingram J, et al. Mycophenolate Mofetil for First-Line Treatment of Immune Thrombocytopenia. N Engl J Med 2021;385:885–95. https://doi.org/10.1056/nejmoa2100596.</w:t>
      </w:r>
    </w:p>
    <w:p w14:paraId="7FD75E8B"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[31]</w:t>
      </w:r>
      <w:r w:rsidRPr="00AE4DEC">
        <w:rPr>
          <w:rFonts w:ascii="Palatino Linotype" w:hAnsi="Palatino Linotype" w:cs="Times New Roman"/>
          <w:sz w:val="18"/>
        </w:rPr>
        <w:tab/>
        <w:t>Berrueco R, González-Forster E, Deya-Martinez A, Solsona M, García-García A, Calzada-Hernández J, et al. Mycophenolate mofetil for autoimmune cytopenias in children: high rates of response in inborn errors of immunity. Front Pediatr 2023;11:1–7. https://doi.org/10.3389/fped.2023.1174671.</w:t>
      </w:r>
    </w:p>
    <w:p w14:paraId="0452FD06"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[32]</w:t>
      </w:r>
      <w:r w:rsidRPr="00AE4DEC">
        <w:rPr>
          <w:rFonts w:ascii="Palatino Linotype" w:hAnsi="Palatino Linotype" w:cs="Times New Roman"/>
          <w:sz w:val="18"/>
        </w:rPr>
        <w:tab/>
        <w:t>Miano M, Ramenghi U, Russo G, Rubert L, Barone A, Tucci F, et al. Mycophenolate mofetil for the treatment of children with immune thrombocytopenia and Evans syndrome. A retrospective data review from the Italian association of paediatric haematology/oncology. Br J Haematol 2016;175:490–5. https://doi.org/10.1111/bjh.14261.</w:t>
      </w:r>
    </w:p>
    <w:p w14:paraId="7EC192D6"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[33]</w:t>
      </w:r>
      <w:r w:rsidRPr="00AE4DEC">
        <w:rPr>
          <w:rFonts w:ascii="Palatino Linotype" w:hAnsi="Palatino Linotype" w:cs="Times New Roman"/>
          <w:sz w:val="18"/>
        </w:rPr>
        <w:tab/>
        <w:t>Farruggia P, Macaluso A, Tropia S, Genova S, Paolicchi O, Di Marco F, et al. Effectiveness of cyclosporine and mycophenolate mofetil in a child with refractory evans syndrome. Pediatr Rep 2011;3:49–50. https://doi.org/10.4081/pr.2011.e15.</w:t>
      </w:r>
    </w:p>
    <w:p w14:paraId="632B1CC4"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[34]</w:t>
      </w:r>
      <w:r w:rsidRPr="00AE4DEC">
        <w:rPr>
          <w:rFonts w:ascii="Palatino Linotype" w:hAnsi="Palatino Linotype" w:cs="Times New Roman"/>
          <w:sz w:val="18"/>
        </w:rPr>
        <w:tab/>
        <w:t>Maltzman JS, Koretzky GA. Azathioprine: Old drug, new actions. J Clin Invest 2003;111:1122–4. https://doi.org/10.1172/JCI200318384.</w:t>
      </w:r>
    </w:p>
    <w:p w14:paraId="07FB8351"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[35]</w:t>
      </w:r>
      <w:r w:rsidRPr="00AE4DEC">
        <w:rPr>
          <w:rFonts w:ascii="Palatino Linotype" w:hAnsi="Palatino Linotype" w:cs="Times New Roman"/>
          <w:sz w:val="18"/>
        </w:rPr>
        <w:tab/>
        <w:t>Le-nguyen A, Mortuza S, Hsia CC. Role of azathioprine in the management of ITP in the TPO-RA era</w:t>
      </w:r>
      <w:r w:rsidRPr="00AE4DEC">
        <w:rPr>
          <w:rFonts w:ascii="Times New Roman" w:hAnsi="Times New Roman" w:cs="Times New Roman"/>
          <w:sz w:val="18"/>
        </w:rPr>
        <w:t> </w:t>
      </w:r>
      <w:r w:rsidRPr="00AE4DEC">
        <w:rPr>
          <w:rFonts w:ascii="Palatino Linotype" w:hAnsi="Palatino Linotype" w:cs="Times New Roman"/>
          <w:sz w:val="18"/>
        </w:rPr>
        <w:t>: a single-center retrospective study. Blood Vessel Thromb Hemost 2025;2:100035. https://doi.org/10.1016/j.bvth.2024.100035.</w:t>
      </w:r>
    </w:p>
    <w:p w14:paraId="56E9746B"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[36]</w:t>
      </w:r>
      <w:r w:rsidRPr="00AE4DEC">
        <w:rPr>
          <w:rFonts w:ascii="Palatino Linotype" w:hAnsi="Palatino Linotype" w:cs="Times New Roman"/>
          <w:sz w:val="18"/>
        </w:rPr>
        <w:tab/>
        <w:t>Turgutkaya A, Bolaman AZ, Yavasoglu I. COVID-19-associated Evans syndrome: A case report and review of the literature 2022.</w:t>
      </w:r>
    </w:p>
    <w:p w14:paraId="55241D56"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[37]</w:t>
      </w:r>
      <w:r w:rsidRPr="00AE4DEC">
        <w:rPr>
          <w:rFonts w:ascii="Palatino Linotype" w:hAnsi="Palatino Linotype" w:cs="Times New Roman"/>
          <w:sz w:val="18"/>
        </w:rPr>
        <w:tab/>
        <w:t>Muley A, Mitra S, Viramgam K, Patel Z, Vishwa T. Evans Syndrome: a Case Report and Review. Int J Sci Res 2023;6:76–7. https://doi.org/10.36106/ijsr/8502659.</w:t>
      </w:r>
    </w:p>
    <w:p w14:paraId="65865EBB"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[38]</w:t>
      </w:r>
      <w:r w:rsidRPr="00AE4DEC">
        <w:rPr>
          <w:rFonts w:ascii="Palatino Linotype" w:hAnsi="Palatino Linotype" w:cs="Times New Roman"/>
          <w:sz w:val="18"/>
        </w:rPr>
        <w:tab/>
        <w:t>Mishra K, Pramanik S, Sandal R, Jandial A, Sahu KK, Singh K, et al. Safety and efficacy of azathioprine in immune thrombocytopenia. Am J Blood Res 2021;11:217–26.</w:t>
      </w:r>
    </w:p>
    <w:p w14:paraId="6EED1AC0"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[39]</w:t>
      </w:r>
      <w:r w:rsidRPr="00AE4DEC">
        <w:rPr>
          <w:rFonts w:ascii="Palatino Linotype" w:hAnsi="Palatino Linotype" w:cs="Times New Roman"/>
          <w:sz w:val="18"/>
        </w:rPr>
        <w:tab/>
        <w:t>Ogino MH, Tadi P. Cyclophosphamide 2023.</w:t>
      </w:r>
    </w:p>
    <w:p w14:paraId="19282A65"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[40]</w:t>
      </w:r>
      <w:r w:rsidRPr="00AE4DEC">
        <w:rPr>
          <w:rFonts w:ascii="Palatino Linotype" w:hAnsi="Palatino Linotype" w:cs="Times New Roman"/>
          <w:sz w:val="18"/>
        </w:rPr>
        <w:tab/>
        <w:t>Ahlmann M, Hempel G. The effect of cyclophosphamide on the immune system: implications for clinical cancer therapy. Cancer Chemother Pharmacol 2016;78:661–71. https://doi.org/10.1007/s00280-016-3152-1.</w:t>
      </w:r>
    </w:p>
    <w:p w14:paraId="34EF14DF"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lastRenderedPageBreak/>
        <w:t>[41]</w:t>
      </w:r>
      <w:r w:rsidRPr="00AE4DEC">
        <w:rPr>
          <w:rFonts w:ascii="Palatino Linotype" w:hAnsi="Palatino Linotype" w:cs="Times New Roman"/>
          <w:sz w:val="18"/>
        </w:rPr>
        <w:tab/>
        <w:t>Dezern AE, Styler MJ, Drachman DB, Hummers LK, Jones RJ, Brodsky RA. Repeated treatment with high dose cyclophosphamide for severe autoimmune diseases. Am J Blood Res 2013;3:84–90.</w:t>
      </w:r>
    </w:p>
    <w:p w14:paraId="530080FC"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[42]</w:t>
      </w:r>
      <w:r w:rsidRPr="00AE4DEC">
        <w:rPr>
          <w:rFonts w:ascii="Palatino Linotype" w:hAnsi="Palatino Linotype" w:cs="Times New Roman"/>
          <w:sz w:val="18"/>
        </w:rPr>
        <w:tab/>
        <w:t>Boruchov DM, Gururangan S, Driscoll MC, Bussel JB. Multiagent induction and maintenance therapy for patients with refractory immune thrombocytopenic purpura (ITP). Blood 2007;110:3526–31. https://doi.org/10.1182/blood-2007-01-065763.</w:t>
      </w:r>
    </w:p>
    <w:p w14:paraId="55611272"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[43]</w:t>
      </w:r>
      <w:r w:rsidRPr="00AE4DEC">
        <w:rPr>
          <w:rFonts w:ascii="Palatino Linotype" w:hAnsi="Palatino Linotype" w:cs="Times New Roman"/>
          <w:sz w:val="18"/>
        </w:rPr>
        <w:tab/>
        <w:t>Taub JW, Buck SA, Xavier AC, Edwards H, Matherly LH, Ge Y. The evolution and history of Vinca alkaloids: From the Big Bang to the treatment of pediatric acute leukemia. Pediatr Blood Cancer 2024:1–8. https://doi.org/10.1002/pbc.31247.</w:t>
      </w:r>
    </w:p>
    <w:p w14:paraId="080D8386"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[44]</w:t>
      </w:r>
      <w:r w:rsidRPr="00AE4DEC">
        <w:rPr>
          <w:rFonts w:ascii="Palatino Linotype" w:hAnsi="Palatino Linotype" w:cs="Times New Roman"/>
          <w:sz w:val="18"/>
        </w:rPr>
        <w:tab/>
        <w:t>Shvidel L, Sigler E, Shtalrid M, Berrebi A. Vincristine-loaded platelet infusion for treatment of refractory autoimmune hemolytic anemia and chronic immune thrombocytopenia: Rethinking old cures. Am J Hematol 2006;81:423–5. https://doi.org/10.1002/ajh.20632.</w:t>
      </w:r>
    </w:p>
    <w:p w14:paraId="097B5292"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[45]</w:t>
      </w:r>
      <w:r w:rsidRPr="00AE4DEC">
        <w:rPr>
          <w:rFonts w:ascii="Palatino Linotype" w:hAnsi="Palatino Linotype" w:cs="Times New Roman"/>
          <w:sz w:val="18"/>
        </w:rPr>
        <w:tab/>
        <w:t>Huang HE, Lin KM, Lin JC, Lin YT, He HR, Wang YW, et al. Danazol in Refractory Autoimmune Hemolytic Anemia or Immune Thrombocytopenia: A Case Series Report and Literature Review. Pharmaceuticals 2022;15. https://doi.org/10.3390/ph15111377.</w:t>
      </w:r>
    </w:p>
    <w:p w14:paraId="5B1B68EE"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[46]</w:t>
      </w:r>
      <w:r w:rsidRPr="00AE4DEC">
        <w:rPr>
          <w:rFonts w:ascii="Palatino Linotype" w:hAnsi="Palatino Linotype" w:cs="Times New Roman"/>
          <w:sz w:val="18"/>
        </w:rPr>
        <w:tab/>
        <w:t>Gonzalez-Gay MA, Blanco R. Chapter 24 Danazol Therapy. Handb Syst Autoimmune Dis 2008;9:265–71. https://doi.org/10.1016/S1571-5078(07)00224-3.</w:t>
      </w:r>
    </w:p>
    <w:p w14:paraId="45954DA6"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[47]</w:t>
      </w:r>
      <w:r w:rsidRPr="00AE4DEC">
        <w:rPr>
          <w:rFonts w:ascii="Palatino Linotype" w:hAnsi="Palatino Linotype" w:cs="Times New Roman"/>
          <w:sz w:val="18"/>
        </w:rPr>
        <w:tab/>
        <w:t>Podolanczuk A, Lazarus AH, Crow AR, Grossbard E, Bussel JB. Of mice and men: An open-label pilot study for treatment of immune thrombocytopenic purpura by an inhibitor of Syk. Blood 2009;113:3154–60. https://doi.org/10.1182/blood-2008-07-166439.</w:t>
      </w:r>
    </w:p>
    <w:p w14:paraId="0BD0B552"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[48]</w:t>
      </w:r>
      <w:r w:rsidRPr="00AE4DEC">
        <w:rPr>
          <w:rFonts w:ascii="Palatino Linotype" w:hAnsi="Palatino Linotype" w:cs="Times New Roman"/>
          <w:sz w:val="18"/>
        </w:rPr>
        <w:tab/>
        <w:t>Kuter DJ, Rogers KA, Boxer MA, Choi M, Agajanian R, Arnold DM, et al. Fostamatinib for the treatment of warm antibody autoimmune hemolytic anemia: Phase 2, multicenter, open-label study. Am J Hematol 2022;97:691–9. https://doi.org/10.1002/ajh.26508.</w:t>
      </w:r>
    </w:p>
    <w:p w14:paraId="60C8C05C"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[49]</w:t>
      </w:r>
      <w:r w:rsidRPr="00AE4DEC">
        <w:rPr>
          <w:rFonts w:ascii="Palatino Linotype" w:hAnsi="Palatino Linotype" w:cs="Times New Roman"/>
          <w:sz w:val="18"/>
        </w:rPr>
        <w:tab/>
        <w:t>Lopez JNR, Shao L, JiangS D, Bikkani LB, CMoore D. Efficacy, Safety and Molecular Response Predictors of Fostamatinib in Warm Autoimmune Hemolytic Anemia (wAIHA) and/or Evans Syndrome (ES): A Multicenter Analysis Jorge. Blood 2024;144:670–1. https://doi.org/10.1182/blood-2024-194041.</w:t>
      </w:r>
    </w:p>
    <w:p w14:paraId="108884C2"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[50]</w:t>
      </w:r>
      <w:r w:rsidRPr="00AE4DEC">
        <w:rPr>
          <w:rFonts w:ascii="Palatino Linotype" w:hAnsi="Palatino Linotype" w:cs="Times New Roman"/>
          <w:sz w:val="18"/>
        </w:rPr>
        <w:tab/>
        <w:t>Gómez-Almaguer D, Colunga-Pedraza PR, Gómez-De León A, Gutiérrez-Aguirre CH, Cantú-Rodríguez OG, Jaime-Pérez JC. Eltrombopag, low-dose rituximab, and dexamethasone combination as frontline treatment of newly diagnosed immune thrombocytopaenia. Br J Haematol 2019;184:288–90. https://doi.org/10.1111/bjh.15070.</w:t>
      </w:r>
    </w:p>
    <w:p w14:paraId="6059B934"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[51]</w:t>
      </w:r>
      <w:r w:rsidRPr="00AE4DEC">
        <w:rPr>
          <w:rFonts w:ascii="Palatino Linotype" w:hAnsi="Palatino Linotype" w:cs="Times New Roman"/>
          <w:sz w:val="18"/>
        </w:rPr>
        <w:tab/>
        <w:t>Yang Y, Fei X, Lei F, Wang L, Yu X, Tang Y. Autoimmune hemolytic anemia and thrombocytopenia in a Chinese patient with heterozygous NBAS mutations: Case report. Med (United States) 2024;103:E36975. https://doi.org/10.1097/MD.0000000000036975.</w:t>
      </w:r>
    </w:p>
    <w:p w14:paraId="6D22D89A"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[52]</w:t>
      </w:r>
      <w:r w:rsidRPr="00AE4DEC">
        <w:rPr>
          <w:rFonts w:ascii="Palatino Linotype" w:hAnsi="Palatino Linotype" w:cs="Times New Roman"/>
          <w:sz w:val="18"/>
        </w:rPr>
        <w:tab/>
        <w:t>Du Y, Yang C, Chen M, Ruan J, Huang Y, Chen F, et al. Tacrolimus is effective in relapsed/refractory autoimmune cytopenias: results of a single-center retrospective study. Hematol (United Kingdom) 2020;25:478–83. https://doi.org/10.1080/16078454.2020.1852763.</w:t>
      </w:r>
    </w:p>
    <w:p w14:paraId="6CDC8E8B"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[53]</w:t>
      </w:r>
      <w:r w:rsidRPr="00AE4DEC">
        <w:rPr>
          <w:rFonts w:ascii="Palatino Linotype" w:hAnsi="Palatino Linotype" w:cs="Times New Roman"/>
          <w:sz w:val="18"/>
        </w:rPr>
        <w:tab/>
        <w:t>Tabchi S, Hanna C, Kourie HR, Aftimos P, El Osta L, Ghosn M. Successful treatment of Evans syndrome with Tacrolimus. Invest New Drugs 2015;33:254–6. https://doi.org/10.1007/s10637-014-0155-9.</w:t>
      </w:r>
    </w:p>
    <w:p w14:paraId="64555B69"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[54]</w:t>
      </w:r>
      <w:r w:rsidRPr="00AE4DEC">
        <w:rPr>
          <w:rFonts w:ascii="Palatino Linotype" w:hAnsi="Palatino Linotype" w:cs="Times New Roman"/>
          <w:sz w:val="18"/>
        </w:rPr>
        <w:tab/>
        <w:t>Gambari R, Zuccato C, Cosenza LC, Zurlo M, Gasparello J, Finotti A, et al. The Long Scientific Journey of Sirolimus (Rapamycin): From the Soil of Easter Island (Rapa Nui) to Applied Research and Clinical Trials on β-Thalassemia and Other Hemoglobinopathies. Biology (Basel) 2023;12. https://doi.org/10.3390/biology12091202.</w:t>
      </w:r>
    </w:p>
    <w:p w14:paraId="39A0C128"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[55]</w:t>
      </w:r>
      <w:r w:rsidRPr="00AE4DEC">
        <w:rPr>
          <w:rFonts w:ascii="Palatino Linotype" w:hAnsi="Palatino Linotype" w:cs="Times New Roman"/>
          <w:sz w:val="18"/>
        </w:rPr>
        <w:tab/>
        <w:t>Zhang Z, Hu Q, Yang C, Chen M, Han B. Sirolimus is effective for primary refractory/relapsed warm autoimmune haemolytic anaemia/Evans syndrome: a retrospective single-center study. Ann Med 2023;55. https://doi.org/10.1080/07853890.2023.2282180.</w:t>
      </w:r>
    </w:p>
    <w:p w14:paraId="671EF897"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[56]</w:t>
      </w:r>
      <w:r w:rsidRPr="00AE4DEC">
        <w:rPr>
          <w:rFonts w:ascii="Palatino Linotype" w:hAnsi="Palatino Linotype" w:cs="Times New Roman"/>
          <w:sz w:val="18"/>
        </w:rPr>
        <w:tab/>
        <w:t>Ruiz-Arguelles GJ, Ruiz-Delgado GJ, Velázquez-Sánchez-de-Cima S, Zamora-Ortiz G. Simultaneous romiplostin, eltrombopag, and prednisone were successful in severe thrombocytopenia of Evans syndrome refractory to hydrocortisone, splenectomy, intravenous IgG, and rituximab. Hematology 2013;18:175–7. https://doi.org/10.1179/1607845412Y.0000000060.</w:t>
      </w:r>
    </w:p>
    <w:p w14:paraId="2A33A9A0"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[57]</w:t>
      </w:r>
      <w:r w:rsidRPr="00AE4DEC">
        <w:rPr>
          <w:rFonts w:ascii="Palatino Linotype" w:hAnsi="Palatino Linotype" w:cs="Times New Roman"/>
          <w:sz w:val="18"/>
        </w:rPr>
        <w:tab/>
        <w:t>Li H, Ji J, Du Y, Huang Y, Gu H, Chen M, et al. Sirolimus is effective for primary relapsed/refractory autoimmune cytopenia: a multicenter study. Exp Hematol 2020;89:87–95. https://doi.org/10.1016/j.exphem.2020.08.001.</w:t>
      </w:r>
    </w:p>
    <w:p w14:paraId="1AFF20C4"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[58]</w:t>
      </w:r>
      <w:r w:rsidRPr="00AE4DEC">
        <w:rPr>
          <w:rFonts w:ascii="Palatino Linotype" w:hAnsi="Palatino Linotype" w:cs="Times New Roman"/>
          <w:sz w:val="18"/>
        </w:rPr>
        <w:tab/>
        <w:t>Jasinski S, Weinblatt ME, Glasser CL. Sirolimus as an Effective Agent in the Treatment of Immune Thrombocytopenia (ITP) and Evans Syndrome (ES): A Single Institution’s Experience. J Pediatr Hematol Oncol 2017;39:420–4. https://doi.org/10.1097/MPH.0000000000000818.</w:t>
      </w:r>
    </w:p>
    <w:p w14:paraId="4898B72D"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[59]</w:t>
      </w:r>
      <w:r w:rsidRPr="00AE4DEC">
        <w:rPr>
          <w:rFonts w:ascii="Palatino Linotype" w:hAnsi="Palatino Linotype" w:cs="Times New Roman"/>
          <w:sz w:val="18"/>
        </w:rPr>
        <w:tab/>
        <w:t>Beydoun SB, Persaud Y, Lafferty J, Callaghan MU, Savaşan S. Bortezomib treatment of steroid-refractory Evans syndrome in children. Pediatr Blood Cancer 2020;67:8–11. https://doi.org/10.1002/pbc.28725.</w:t>
      </w:r>
    </w:p>
    <w:p w14:paraId="25B80720"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[60]</w:t>
      </w:r>
      <w:r w:rsidRPr="00AE4DEC">
        <w:rPr>
          <w:rFonts w:ascii="Palatino Linotype" w:hAnsi="Palatino Linotype" w:cs="Times New Roman"/>
          <w:sz w:val="18"/>
        </w:rPr>
        <w:tab/>
        <w:t xml:space="preserve">Hideshima T, Richardson PG, Anderson KC. </w:t>
      </w:r>
      <w:r w:rsidRPr="00AE4DEC">
        <w:rPr>
          <w:rFonts w:ascii="Microsoft YaHei" w:eastAsia="Microsoft YaHei" w:hAnsi="Microsoft YaHei" w:cs="Microsoft YaHei" w:hint="eastAsia"/>
          <w:sz w:val="18"/>
        </w:rPr>
        <w:t>乳鼠心肌提取</w:t>
      </w:r>
      <w:r w:rsidRPr="00AE4DEC">
        <w:rPr>
          <w:rFonts w:ascii="Palatino Linotype" w:hAnsi="Palatino Linotype" w:cs="Times New Roman"/>
          <w:sz w:val="18"/>
        </w:rPr>
        <w:t xml:space="preserve"> HHS Public Access. Physiol Behav 2018;176:139–48. https://doi.org/10.1158/1535-7163.MCT-11-0433.Mechanism.</w:t>
      </w:r>
    </w:p>
    <w:p w14:paraId="1FF61EEF"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[61]</w:t>
      </w:r>
      <w:r w:rsidRPr="00AE4DEC">
        <w:rPr>
          <w:rFonts w:ascii="Palatino Linotype" w:hAnsi="Palatino Linotype" w:cs="Times New Roman"/>
          <w:sz w:val="18"/>
        </w:rPr>
        <w:tab/>
        <w:t>Knight T, Ravindranath Y, Callaghan MU. Successful Treatment of an Adolescent Male with Severe Refractory Evans Syndrome Using Bortezomib-based Therapy. J Pediatr Hematol Oncol 2020;42:E110–3. https://doi.org/10.1097/MPH.0000000000001325.</w:t>
      </w:r>
    </w:p>
    <w:p w14:paraId="400D752A"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lastRenderedPageBreak/>
        <w:t>[62]</w:t>
      </w:r>
      <w:r w:rsidRPr="00AE4DEC">
        <w:rPr>
          <w:rFonts w:ascii="Palatino Linotype" w:hAnsi="Palatino Linotype" w:cs="Times New Roman"/>
          <w:sz w:val="18"/>
        </w:rPr>
        <w:tab/>
        <w:t>Tkachenko O, Lapin S, Maslyansky A, Myachikova V, Mikhailova L, Gilburd B. Relapsing Evans syndrome and systemic lupus erythematosus with antiphospholipid syndrome treated with Bortezomib in combination with plasma exchange. Clin Immunol 2019;199:44–6. https://doi.org/10.1016/j.clim.2018.12.010.</w:t>
      </w:r>
    </w:p>
    <w:p w14:paraId="5F54AAE4"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[63]</w:t>
      </w:r>
      <w:r w:rsidRPr="00AE4DEC">
        <w:rPr>
          <w:rFonts w:ascii="Palatino Linotype" w:hAnsi="Palatino Linotype" w:cs="Times New Roman"/>
          <w:sz w:val="18"/>
        </w:rPr>
        <w:tab/>
        <w:t>Pasquale R, Giannotta JA, Barcellini W, Fattizzo B. Bortezomib in autoimmune hemolytic anemia and beyond. Ther Adv Hematol 2021;12:1–19. https://doi.org/10.1177/20406207211046428.</w:t>
      </w:r>
    </w:p>
    <w:p w14:paraId="4E2CD67A"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[64]</w:t>
      </w:r>
      <w:r w:rsidRPr="00AE4DEC">
        <w:rPr>
          <w:rFonts w:ascii="Palatino Linotype" w:hAnsi="Palatino Linotype" w:cs="Times New Roman"/>
          <w:sz w:val="18"/>
        </w:rPr>
        <w:tab/>
        <w:t>Li M, Liu L, Ding B, Song X, Xia A, Han Y, et al. Refractory/relapse thrombocytopenia in a patient with Evans’ syndrome successfully treated with zanubrutinib. Br J Haematol 2022;199:e37–42. https://doi.org/10.1111/bjh.18490.</w:t>
      </w:r>
    </w:p>
    <w:p w14:paraId="292CE482"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[65]</w:t>
      </w:r>
      <w:r w:rsidRPr="00AE4DEC">
        <w:rPr>
          <w:rFonts w:ascii="Palatino Linotype" w:hAnsi="Palatino Linotype" w:cs="Times New Roman"/>
          <w:sz w:val="18"/>
        </w:rPr>
        <w:tab/>
        <w:t>Ding B, Li M, Liu L, Song X, Zhang Y, Xia A, et al. A Case Series and Literature Review on Zanubrutinib Therapy for the Treatment of Relapsed/Refractory Immune Thrombocytopenia. Cancer Rep 2025;8:1–9. https://doi.org/10.1002/cnr2.70152.</w:t>
      </w:r>
    </w:p>
    <w:p w14:paraId="3A470F11"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[66]</w:t>
      </w:r>
      <w:r w:rsidRPr="00AE4DEC">
        <w:rPr>
          <w:rFonts w:ascii="Palatino Linotype" w:hAnsi="Palatino Linotype" w:cs="Times New Roman"/>
          <w:sz w:val="18"/>
        </w:rPr>
        <w:tab/>
        <w:t>Zaninoni A, Giannotta JA, Gallì A, Artuso R, Bianchi P, Malcovati L, et al. The Immunomodulatory Effect and Clinical Efficacy of Daratumumab in a Patient With Cold Agglutinin Disease. Front Immunol 2021;12:1–8. https://doi.org/10.3389/fimmu.2021.649441.</w:t>
      </w:r>
    </w:p>
    <w:p w14:paraId="5319CFB9"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[67]</w:t>
      </w:r>
      <w:r w:rsidRPr="00AE4DEC">
        <w:rPr>
          <w:rFonts w:ascii="Palatino Linotype" w:hAnsi="Palatino Linotype" w:cs="Times New Roman"/>
          <w:sz w:val="18"/>
        </w:rPr>
        <w:tab/>
        <w:t>Jalink M, Jacobs CF, Khwaja J, Evers D, Bruggeman C, Fattizzo B, et al. Daratumumab monotherapy in refractory warm autoimmune hemolytic anemia and cold agglutinin disease. Blood Adv 2024;8:2622–34. https://doi.org/10.1182/bloodadvances.2024012585.</w:t>
      </w:r>
    </w:p>
    <w:p w14:paraId="2042D02A"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[68]</w:t>
      </w:r>
      <w:r w:rsidRPr="00AE4DEC">
        <w:rPr>
          <w:rFonts w:ascii="Palatino Linotype" w:hAnsi="Palatino Linotype" w:cs="Times New Roman"/>
          <w:sz w:val="18"/>
        </w:rPr>
        <w:tab/>
        <w:t>Willis F, Marsh JCW, Bevan DH, Killick SB, Lucas G, Griffiths R, et al. The effect of treatment with Campath-1H in patients with autoimmune cytopenias. Br J Haematol 2001;114:891–8. https://doi.org/10.1046/j.1365-2141.2001.03039.x.</w:t>
      </w:r>
    </w:p>
    <w:p w14:paraId="3E389A93"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cs="Times New Roman"/>
          <w:sz w:val="18"/>
        </w:rPr>
      </w:pPr>
      <w:r w:rsidRPr="00AE4DEC">
        <w:rPr>
          <w:rFonts w:ascii="Palatino Linotype" w:hAnsi="Palatino Linotype" w:cs="Times New Roman"/>
          <w:sz w:val="18"/>
        </w:rPr>
        <w:t>[69]</w:t>
      </w:r>
      <w:r w:rsidRPr="00AE4DEC">
        <w:rPr>
          <w:rFonts w:ascii="Palatino Linotype" w:hAnsi="Palatino Linotype" w:cs="Times New Roman"/>
          <w:sz w:val="18"/>
        </w:rPr>
        <w:tab/>
        <w:t>O’Brien T. Alemtuzumab for Treatment of Refractory Evans Syndrome. Blood 2015;126:4542–4542. https://doi.org/10.1182/blood.v126.23.4542.4542.</w:t>
      </w:r>
    </w:p>
    <w:p w14:paraId="1C8EBF8A" w14:textId="77777777" w:rsidR="00AE4DEC" w:rsidRPr="00AE4DEC" w:rsidRDefault="00AE4DEC" w:rsidP="00AE4DEC">
      <w:pPr>
        <w:widowControl w:val="0"/>
        <w:autoSpaceDE w:val="0"/>
        <w:autoSpaceDN w:val="0"/>
        <w:adjustRightInd w:val="0"/>
        <w:spacing w:after="0" w:line="240" w:lineRule="auto"/>
        <w:ind w:left="640" w:hanging="640"/>
        <w:rPr>
          <w:rFonts w:ascii="Palatino Linotype" w:hAnsi="Palatino Linotype"/>
          <w:sz w:val="18"/>
        </w:rPr>
      </w:pPr>
      <w:r w:rsidRPr="00AE4DEC">
        <w:rPr>
          <w:rFonts w:ascii="Palatino Linotype" w:hAnsi="Palatino Linotype" w:cs="Times New Roman"/>
          <w:sz w:val="18"/>
        </w:rPr>
        <w:t>[70]</w:t>
      </w:r>
      <w:r w:rsidRPr="00AE4DEC">
        <w:rPr>
          <w:rFonts w:ascii="Palatino Linotype" w:hAnsi="Palatino Linotype" w:cs="Times New Roman"/>
          <w:sz w:val="18"/>
        </w:rPr>
        <w:tab/>
        <w:t>Cheung E, Liebman HA. Anti-RhD immunoglobulin in the treatment of immune thrombocytopenia. Biol Targets Ther 2009;3:57–62. https://doi.org/10.2147/btt.s3166.</w:t>
      </w:r>
    </w:p>
    <w:p w14:paraId="1FBBF305" w14:textId="12556F53" w:rsidR="00564DE1" w:rsidRPr="00C74608" w:rsidRDefault="00C74608" w:rsidP="00671059">
      <w:pPr>
        <w:widowControl w:val="0"/>
        <w:autoSpaceDE w:val="0"/>
        <w:autoSpaceDN w:val="0"/>
        <w:adjustRightInd w:val="0"/>
        <w:spacing w:after="0" w:line="240" w:lineRule="auto"/>
        <w:ind w:left="640" w:hanging="640"/>
        <w:rPr>
          <w:rFonts w:ascii="Palatino Linotype" w:hAnsi="Palatino Linotype"/>
          <w:b/>
          <w:bCs/>
          <w:noProof w:val="0"/>
          <w:color w:val="000000" w:themeColor="text1"/>
          <w:sz w:val="20"/>
          <w:szCs w:val="20"/>
          <w:lang w:val="en-US"/>
        </w:rPr>
      </w:pPr>
      <w:r>
        <w:rPr>
          <w:rFonts w:ascii="Palatino Linotype" w:hAnsi="Palatino Linotype"/>
          <w:sz w:val="18"/>
          <w:szCs w:val="18"/>
        </w:rPr>
        <w:fldChar w:fldCharType="end"/>
      </w:r>
      <w:r w:rsidR="00564DE1" w:rsidRPr="00564DE1">
        <w:rPr>
          <w:rFonts w:ascii="Palatino Linotype" w:hAnsi="Palatino Linotype"/>
          <w:sz w:val="18"/>
          <w:szCs w:val="18"/>
        </w:rPr>
        <w:t xml:space="preserve"> </w:t>
      </w:r>
    </w:p>
    <w:sectPr w:rsidR="00564DE1" w:rsidRPr="00C74608" w:rsidSect="0074412B">
      <w:headerReference w:type="default" r:id="rId20"/>
      <w:footerReference w:type="default" r:id="rId21"/>
      <w:footnotePr>
        <w:numFmt w:val="chicago"/>
      </w:footnotePr>
      <w:type w:val="continuous"/>
      <w:pgSz w:w="11906" w:h="16838"/>
      <w:pgMar w:top="1411" w:right="1138" w:bottom="850" w:left="1138"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75B41" w14:textId="77777777" w:rsidR="007C78FE" w:rsidRDefault="007C78FE" w:rsidP="000C7A38">
      <w:pPr>
        <w:spacing w:after="0" w:line="240" w:lineRule="auto"/>
      </w:pPr>
      <w:r>
        <w:separator/>
      </w:r>
    </w:p>
  </w:endnote>
  <w:endnote w:type="continuationSeparator" w:id="0">
    <w:p w14:paraId="1A7929D6" w14:textId="77777777" w:rsidR="007C78FE" w:rsidRDefault="007C78FE" w:rsidP="000C7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no Pro">
    <w:altName w:val="Cambria"/>
    <w:charset w:val="00"/>
    <w:family w:val="roman"/>
    <w:pitch w:val="variable"/>
    <w:sig w:usb0="60000287" w:usb1="00000001" w:usb2="00000000" w:usb3="00000000" w:csb0="0000019F" w:csb1="00000000"/>
  </w:font>
  <w:font w:name="Palatino">
    <w:altName w:val="Segoe UI Historic"/>
    <w:charset w:val="4D"/>
    <w:family w:val="auto"/>
    <w:pitch w:val="variable"/>
    <w:sig w:usb0="A00002FF" w:usb1="7800205A" w:usb2="14600000" w:usb3="00000000" w:csb0="00000193" w:csb1="00000000"/>
  </w:font>
  <w:font w:name="Calibri Light (Headings)">
    <w:altName w:val="Calibri Light"/>
    <w:charset w:val="00"/>
    <w:family w:val="roman"/>
    <w:pitch w:val="default"/>
  </w:font>
  <w:font w:name="Yu Mincho">
    <w:charset w:val="80"/>
    <w:family w:val="roman"/>
    <w:pitch w:val="variable"/>
    <w:sig w:usb0="800002E7" w:usb1="2AC7FCFF" w:usb2="00000012" w:usb3="00000000" w:csb0="0002009F" w:csb1="00000000"/>
  </w:font>
  <w:font w:name="GulliverRM">
    <w:altName w:val="Arial Unicode MS"/>
    <w:panose1 w:val="00000000000000000000"/>
    <w:charset w:val="81"/>
    <w:family w:val="auto"/>
    <w:notTrueType/>
    <w:pitch w:val="default"/>
    <w:sig w:usb0="00000001" w:usb1="09060000" w:usb2="00000010" w:usb3="00000000" w:csb0="00080000" w:csb1="00000000"/>
  </w:font>
  <w:font w:name="Josefin Sans">
    <w:panose1 w:val="00000000000000000000"/>
    <w:charset w:val="4D"/>
    <w:family w:val="auto"/>
    <w:pitch w:val="variable"/>
    <w:sig w:usb0="A00000FF" w:usb1="4000204B"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54AE9" w14:textId="77777777" w:rsidR="00A910D7" w:rsidRDefault="00A910D7" w:rsidP="006A2F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77A6A2" w14:textId="77777777" w:rsidR="00A910D7" w:rsidRDefault="00A910D7" w:rsidP="00C17208">
    <w:pPr>
      <w:pStyle w:val="Footer"/>
      <w:ind w:right="360" w:firstLine="360"/>
    </w:pPr>
  </w:p>
  <w:p w14:paraId="5D76335D" w14:textId="77777777" w:rsidR="00A910D7" w:rsidRDefault="00A910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E190" w14:textId="30C0390A" w:rsidR="00A910D7" w:rsidRDefault="00A910D7" w:rsidP="003C25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697E">
      <w:rPr>
        <w:rStyle w:val="PageNumber"/>
      </w:rPr>
      <w:t>2</w:t>
    </w:r>
    <w:r>
      <w:rPr>
        <w:rStyle w:val="PageNumber"/>
      </w:rPr>
      <w:fldChar w:fldCharType="end"/>
    </w:r>
  </w:p>
  <w:sdt>
    <w:sdtPr>
      <w:rPr>
        <w:rStyle w:val="PageNumber"/>
      </w:rPr>
      <w:id w:val="-2039652707"/>
      <w:docPartObj>
        <w:docPartGallery w:val="Page Numbers (Bottom of Page)"/>
        <w:docPartUnique/>
      </w:docPartObj>
    </w:sdtPr>
    <w:sdtContent>
      <w:p w14:paraId="19902921" w14:textId="7C1F780F" w:rsidR="00A910D7" w:rsidRDefault="00A910D7" w:rsidP="003C25AA">
        <w:pPr>
          <w:pStyle w:val="Footer"/>
          <w:framePr w:wrap="none" w:vAnchor="text" w:hAnchor="margin" w:xAlign="right" w:y="1"/>
          <w:ind w:right="360"/>
          <w:rPr>
            <w:rStyle w:val="PageNumber"/>
          </w:rPr>
        </w:pPr>
        <w:r>
          <w:rPr>
            <w:rStyle w:val="PageNumber"/>
          </w:rPr>
          <w:t>8</w:t>
        </w:r>
      </w:p>
    </w:sdtContent>
  </w:sdt>
  <w:p w14:paraId="42C0E3AC" w14:textId="5DDAC0EC" w:rsidR="00A910D7" w:rsidRPr="0047536C" w:rsidRDefault="00A910D7" w:rsidP="000A4FE4">
    <w:pPr>
      <w:pStyle w:val="Footer"/>
      <w:ind w:left="284" w:right="360" w:hanging="284"/>
      <w:rPr>
        <w:rFonts w:ascii="Palatino Linotype" w:eastAsia="Times New Roman" w:hAnsi="Palatino Linotype"/>
        <w:bCs/>
        <w:i/>
        <w:color w:val="000000"/>
        <w:sz w:val="16"/>
        <w:szCs w:val="16"/>
        <w:lang w:eastAsia="en-MY"/>
      </w:rPr>
    </w:pPr>
  </w:p>
  <w:p w14:paraId="428588FF" w14:textId="77777777" w:rsidR="00A910D7" w:rsidRDefault="00A910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6663163"/>
      <w:docPartObj>
        <w:docPartGallery w:val="Page Numbers (Bottom of Page)"/>
        <w:docPartUnique/>
      </w:docPartObj>
    </w:sdtPr>
    <w:sdtContent>
      <w:p w14:paraId="6B56A818" w14:textId="4142AB8D" w:rsidR="00497F17" w:rsidRDefault="00497F17" w:rsidP="00A575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14:paraId="5EC4A1D2" w14:textId="7C4B3888" w:rsidR="00A910D7" w:rsidRPr="003C25AA" w:rsidRDefault="00A910D7" w:rsidP="00497F17">
    <w:pPr>
      <w:pStyle w:val="Footer"/>
      <w:ind w:right="360"/>
      <w:rPr>
        <w:sz w:val="20"/>
        <w:szCs w:val="20"/>
      </w:rPr>
    </w:pPr>
    <w:r>
      <w:rPr>
        <w:rFonts w:ascii="Palatino Linotype" w:hAnsi="Palatino Linotype"/>
        <w:sz w:val="20"/>
        <w:szCs w:val="20"/>
      </w:rPr>
      <w:t xml:space="preserve">                                                                                                                                                                                    </w:t>
    </w:r>
    <w:r w:rsidR="00560928">
      <w:rPr>
        <w:rFonts w:ascii="Palatino Linotype" w:hAnsi="Palatino Linotype"/>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0926798"/>
      <w:docPartObj>
        <w:docPartGallery w:val="Page Numbers (Bottom of Page)"/>
        <w:docPartUnique/>
      </w:docPartObj>
    </w:sdtPr>
    <w:sdtContent>
      <w:p w14:paraId="0A26735D" w14:textId="77777777" w:rsidR="00803D7A" w:rsidRDefault="00803D7A" w:rsidP="00803D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046B502C" w14:textId="0F1F1117" w:rsidR="00A910D7" w:rsidRDefault="00803D7A" w:rsidP="00BA388F">
    <w:pPr>
      <w:pStyle w:val="Footer"/>
      <w:ind w:right="360"/>
      <w:jc w:val="right"/>
      <w:rPr>
        <w:rFonts w:ascii="Palatino Linotype" w:hAnsi="Palatino Linotype"/>
        <w:sz w:val="16"/>
        <w:szCs w:val="16"/>
      </w:rPr>
    </w:pPr>
    <w:r>
      <w:rPr>
        <w:rFonts w:ascii="Palatino Linotype" w:hAnsi="Palatino Linotype"/>
        <w:sz w:val="16"/>
        <w:szCs w:val="16"/>
      </w:rPr>
      <mc:AlternateContent>
        <mc:Choice Requires="wpg">
          <w:drawing>
            <wp:anchor distT="0" distB="0" distL="114300" distR="114300" simplePos="0" relativeHeight="251679744" behindDoc="0" locked="0" layoutInCell="1" allowOverlap="1" wp14:anchorId="35DF54EE" wp14:editId="7C74B0B5">
              <wp:simplePos x="0" y="0"/>
              <wp:positionH relativeFrom="column">
                <wp:posOffset>55699</wp:posOffset>
              </wp:positionH>
              <wp:positionV relativeFrom="paragraph">
                <wp:posOffset>67945</wp:posOffset>
              </wp:positionV>
              <wp:extent cx="2481943" cy="364671"/>
              <wp:effectExtent l="0" t="0" r="0" b="16510"/>
              <wp:wrapNone/>
              <wp:docPr id="83499555" name="Group 6"/>
              <wp:cNvGraphicFramePr/>
              <a:graphic xmlns:a="http://schemas.openxmlformats.org/drawingml/2006/main">
                <a:graphicData uri="http://schemas.microsoft.com/office/word/2010/wordprocessingGroup">
                  <wpg:wgp>
                    <wpg:cNvGrpSpPr/>
                    <wpg:grpSpPr>
                      <a:xfrm>
                        <a:off x="0" y="0"/>
                        <a:ext cx="2481943" cy="364671"/>
                        <a:chOff x="0" y="0"/>
                        <a:chExt cx="2481943" cy="364671"/>
                      </a:xfrm>
                    </wpg:grpSpPr>
                    <pic:pic xmlns:pic="http://schemas.openxmlformats.org/drawingml/2006/picture">
                      <pic:nvPicPr>
                        <pic:cNvPr id="701980216" name="Picture 701980216">
                          <a:extLst>
                            <a:ext uri="{FF2B5EF4-FFF2-40B4-BE49-F238E27FC236}">
                              <a16:creationId xmlns:a16="http://schemas.microsoft.com/office/drawing/2014/main" id="{A363B5B9-11AC-694D-80FE-421B024B2409}"/>
                            </a:ext>
                          </a:extLst>
                        </pic:cNvPr>
                        <pic:cNvPicPr>
                          <a:picLocks noChangeAspect="1"/>
                        </pic:cNvPicPr>
                      </pic:nvPicPr>
                      <pic:blipFill>
                        <a:blip r:embed="rId1"/>
                        <a:stretch>
                          <a:fillRect/>
                        </a:stretch>
                      </pic:blipFill>
                      <pic:spPr bwMode="auto">
                        <a:xfrm>
                          <a:off x="0" y="0"/>
                          <a:ext cx="413385" cy="309880"/>
                        </a:xfrm>
                        <a:prstGeom prst="rect">
                          <a:avLst/>
                        </a:prstGeom>
                        <a:ln>
                          <a:noFill/>
                        </a:ln>
                        <a:extLst>
                          <a:ext uri="{53640926-AAD7-44D8-BBD7-CCE9431645EC}">
                            <a14:shadowObscured xmlns:a14="http://schemas.microsoft.com/office/drawing/2010/main"/>
                          </a:ext>
                        </a:extLst>
                      </pic:spPr>
                    </pic:pic>
                    <wps:wsp>
                      <wps:cNvPr id="2051791529" name="Text Box 8"/>
                      <wps:cNvSpPr txBox="1">
                        <a:spLocks noChangeArrowheads="1"/>
                      </wps:cNvSpPr>
                      <wps:spPr bwMode="auto">
                        <a:xfrm>
                          <a:off x="451757" y="27214"/>
                          <a:ext cx="2030186" cy="337457"/>
                        </a:xfrm>
                        <a:prstGeom prst="rect">
                          <a:avLst/>
                        </a:prstGeom>
                        <a:noFill/>
                        <a:ln>
                          <a:noFill/>
                        </a:ln>
                      </wps:spPr>
                      <wps:txbx>
                        <w:txbxContent>
                          <w:p w14:paraId="562E17CC" w14:textId="0661B835" w:rsidR="00803D7A" w:rsidRPr="00803D7A" w:rsidRDefault="00803D7A" w:rsidP="00803D7A">
                            <w:pPr>
                              <w:spacing w:after="0" w:line="240" w:lineRule="auto"/>
                              <w:ind w:left="-142"/>
                              <w:rPr>
                                <w:rFonts w:ascii="Palatino Linotype" w:hAnsi="Palatino Linotype"/>
                                <w:color w:val="FF3300"/>
                                <w:sz w:val="16"/>
                                <w:szCs w:val="16"/>
                              </w:rPr>
                            </w:pPr>
                            <w:r w:rsidRPr="00803D7A">
                              <w:rPr>
                                <w:rFonts w:ascii="Palatino Linotype" w:hAnsi="Palatino Linotype"/>
                                <w:color w:val="FF3300"/>
                                <w:sz w:val="16"/>
                                <w:szCs w:val="16"/>
                              </w:rPr>
                              <w:t>Electronic ISSN :</w:t>
                            </w:r>
                            <w:r w:rsidRPr="00803D7A">
                              <w:rPr>
                                <w:rFonts w:ascii="Palatino Linotype" w:hAnsi="Palatino Linotype"/>
                                <w:sz w:val="16"/>
                                <w:szCs w:val="16"/>
                              </w:rPr>
                              <w:t xml:space="preserve"> </w:t>
                            </w:r>
                            <w:r w:rsidRPr="00803D7A">
                              <w:rPr>
                                <w:rFonts w:ascii="Palatino Linotype" w:hAnsi="Palatino Linotype"/>
                                <w:color w:val="FF3300"/>
                                <w:sz w:val="16"/>
                                <w:szCs w:val="16"/>
                              </w:rPr>
                              <w:t xml:space="preserve">2656-3088  </w:t>
                            </w:r>
                          </w:p>
                          <w:p w14:paraId="4153D7BC" w14:textId="77777777" w:rsidR="00803D7A" w:rsidRPr="00803D7A" w:rsidRDefault="00803D7A" w:rsidP="00803D7A">
                            <w:pPr>
                              <w:spacing w:after="0" w:line="240" w:lineRule="auto"/>
                              <w:ind w:left="-142"/>
                              <w:rPr>
                                <w:rFonts w:ascii="Palatino Linotype" w:hAnsi="Palatino Linotype"/>
                                <w:color w:val="FF3300"/>
                                <w:sz w:val="16"/>
                                <w:szCs w:val="16"/>
                              </w:rPr>
                            </w:pPr>
                            <w:r w:rsidRPr="00803D7A">
                              <w:rPr>
                                <w:rFonts w:ascii="Palatino Linotype" w:hAnsi="Palatino Linotype"/>
                                <w:color w:val="FF3300"/>
                                <w:sz w:val="16"/>
                                <w:szCs w:val="16"/>
                              </w:rPr>
                              <w:t xml:space="preserve">Homepage: https://www.journal-jps.com </w:t>
                            </w:r>
                          </w:p>
                          <w:p w14:paraId="48880CFB" w14:textId="77777777" w:rsidR="00803D7A" w:rsidRPr="00803D7A" w:rsidRDefault="00803D7A" w:rsidP="00803D7A">
                            <w:pPr>
                              <w:spacing w:after="0" w:line="240" w:lineRule="auto"/>
                              <w:ind w:left="-142"/>
                              <w:jc w:val="right"/>
                              <w:rPr>
                                <w:rFonts w:ascii="Palatino Linotype" w:hAnsi="Palatino Linotype"/>
                                <w:color w:val="FF3300"/>
                                <w:sz w:val="16"/>
                                <w:szCs w:val="16"/>
                              </w:rPr>
                            </w:pPr>
                          </w:p>
                          <w:p w14:paraId="2666D02D" w14:textId="77777777" w:rsidR="00803D7A" w:rsidRPr="00803D7A" w:rsidRDefault="00803D7A" w:rsidP="00803D7A">
                            <w:pPr>
                              <w:spacing w:after="0" w:line="240" w:lineRule="auto"/>
                              <w:ind w:left="-142"/>
                              <w:rPr>
                                <w:rFonts w:ascii="Palatino Linotype" w:hAnsi="Palatino Linotype"/>
                                <w:sz w:val="16"/>
                                <w:szCs w:val="16"/>
                              </w:rPr>
                            </w:pPr>
                          </w:p>
                        </w:txbxContent>
                      </wps:txbx>
                      <wps:bodyPr rot="0" vert="horz" wrap="square" lIns="91440" tIns="45720" rIns="91440" bIns="0" anchor="b" anchorCtr="0" upright="1">
                        <a:noAutofit/>
                      </wps:bodyPr>
                    </wps:wsp>
                  </wpg:wgp>
                </a:graphicData>
              </a:graphic>
            </wp:anchor>
          </w:drawing>
        </mc:Choice>
        <mc:Fallback>
          <w:pict>
            <v:group w14:anchorId="35DF54EE" id="Group 6" o:spid="_x0000_s1031" style="position:absolute;left:0;text-align:left;margin-left:4.4pt;margin-top:5.35pt;width:195.45pt;height:28.7pt;z-index:251679744" coordsize="24819,3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1980216" o:spid="_x0000_s1032" type="#_x0000_t75" style="position:absolute;width:4133;height:3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">
                <v:imagedata r:id="rId2" o:title=""/>
              </v:shape>
              <v:shapetype id="_x0000_t202" coordsize="21600,21600" o:spt="202" path="m,l,21600r21600,l21600,xe">
                <v:stroke joinstyle="miter"/>
                <v:path gradientshapeok="t" o:connecttype="rect"/>
              </v:shapetype>
              <v:shape id="Text Box 8" o:spid="_x0000_s1033" type="#_x0000_t202" style="position:absolute;left:4517;top:272;width:20302;height:33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" filled="f" stroked="f">
                <v:textbox inset=",,,0">
                  <w:txbxContent>
                    <w:p w14:paraId="562E17CC" w14:textId="0661B835" w:rsidR="00803D7A" w:rsidRPr="00803D7A" w:rsidRDefault="00803D7A" w:rsidP="00803D7A">
                      <w:pPr>
                        <w:spacing w:after="0" w:line="240" w:lineRule="auto"/>
                        <w:ind w:left="-142"/>
                        <w:rPr>
                          <w:rFonts w:ascii="Palatino Linotype" w:hAnsi="Palatino Linotype"/>
                          <w:color w:val="FF3300"/>
                          <w:sz w:val="16"/>
                          <w:szCs w:val="16"/>
                        </w:rPr>
                      </w:pPr>
                      <w:r w:rsidRPr="00803D7A">
                        <w:rPr>
                          <w:rFonts w:ascii="Palatino Linotype" w:hAnsi="Palatino Linotype"/>
                          <w:color w:val="FF3300"/>
                          <w:sz w:val="16"/>
                          <w:szCs w:val="16"/>
                        </w:rPr>
                        <w:t>Electronic ISSN :</w:t>
                      </w:r>
                      <w:r w:rsidRPr="00803D7A">
                        <w:rPr>
                          <w:rFonts w:ascii="Palatino Linotype" w:hAnsi="Palatino Linotype"/>
                          <w:sz w:val="16"/>
                          <w:szCs w:val="16"/>
                        </w:rPr>
                        <w:t xml:space="preserve"> </w:t>
                      </w:r>
                      <w:r w:rsidRPr="00803D7A">
                        <w:rPr>
                          <w:rFonts w:ascii="Palatino Linotype" w:hAnsi="Palatino Linotype"/>
                          <w:color w:val="FF3300"/>
                          <w:sz w:val="16"/>
                          <w:szCs w:val="16"/>
                        </w:rPr>
                        <w:t xml:space="preserve">2656-3088  </w:t>
                      </w:r>
                    </w:p>
                    <w:p w14:paraId="4153D7BC" w14:textId="77777777" w:rsidR="00803D7A" w:rsidRPr="00803D7A" w:rsidRDefault="00803D7A" w:rsidP="00803D7A">
                      <w:pPr>
                        <w:spacing w:after="0" w:line="240" w:lineRule="auto"/>
                        <w:ind w:left="-142"/>
                        <w:rPr>
                          <w:rFonts w:ascii="Palatino Linotype" w:hAnsi="Palatino Linotype"/>
                          <w:color w:val="FF3300"/>
                          <w:sz w:val="16"/>
                          <w:szCs w:val="16"/>
                        </w:rPr>
                      </w:pPr>
                      <w:r w:rsidRPr="00803D7A">
                        <w:rPr>
                          <w:rFonts w:ascii="Palatino Linotype" w:hAnsi="Palatino Linotype"/>
                          <w:color w:val="FF3300"/>
                          <w:sz w:val="16"/>
                          <w:szCs w:val="16"/>
                        </w:rPr>
                        <w:t xml:space="preserve">Homepage: https://www.journal-jps.com </w:t>
                      </w:r>
                    </w:p>
                    <w:p w14:paraId="48880CFB" w14:textId="77777777" w:rsidR="00803D7A" w:rsidRPr="00803D7A" w:rsidRDefault="00803D7A" w:rsidP="00803D7A">
                      <w:pPr>
                        <w:spacing w:after="0" w:line="240" w:lineRule="auto"/>
                        <w:ind w:left="-142"/>
                        <w:jc w:val="right"/>
                        <w:rPr>
                          <w:rFonts w:ascii="Palatino Linotype" w:hAnsi="Palatino Linotype"/>
                          <w:color w:val="FF3300"/>
                          <w:sz w:val="16"/>
                          <w:szCs w:val="16"/>
                        </w:rPr>
                      </w:pPr>
                    </w:p>
                    <w:p w14:paraId="2666D02D" w14:textId="77777777" w:rsidR="00803D7A" w:rsidRPr="00803D7A" w:rsidRDefault="00803D7A" w:rsidP="00803D7A">
                      <w:pPr>
                        <w:spacing w:after="0" w:line="240" w:lineRule="auto"/>
                        <w:ind w:left="-142"/>
                        <w:rPr>
                          <w:rFonts w:ascii="Palatino Linotype" w:hAnsi="Palatino Linotype"/>
                          <w:sz w:val="16"/>
                          <w:szCs w:val="16"/>
                        </w:rPr>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43C84" w14:textId="77777777" w:rsidR="007C78FE" w:rsidRDefault="007C78FE" w:rsidP="000C7A38">
      <w:pPr>
        <w:spacing w:after="0" w:line="240" w:lineRule="auto"/>
      </w:pPr>
      <w:r>
        <w:separator/>
      </w:r>
    </w:p>
  </w:footnote>
  <w:footnote w:type="continuationSeparator" w:id="0">
    <w:p w14:paraId="456A6657" w14:textId="77777777" w:rsidR="007C78FE" w:rsidRDefault="007C78FE" w:rsidP="000C7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994CC" w14:textId="3B2BC387" w:rsidR="00A910D7" w:rsidRPr="000A68EC" w:rsidRDefault="00F10212" w:rsidP="006E0666">
    <w:pPr>
      <w:tabs>
        <w:tab w:val="center" w:pos="5245"/>
        <w:tab w:val="left" w:pos="9759"/>
      </w:tabs>
      <w:spacing w:after="0"/>
      <w:rPr>
        <w:rFonts w:ascii="Palatino Linotype" w:eastAsia="Times New Roman" w:hAnsi="Palatino Linotype"/>
        <w:b/>
        <w:i/>
        <w:noProof w:val="0"/>
        <w:sz w:val="20"/>
        <w:szCs w:val="20"/>
        <w:lang w:val="en-US"/>
      </w:rPr>
    </w:pPr>
    <w:r>
      <w:drawing>
        <wp:anchor distT="0" distB="0" distL="114300" distR="114300" simplePos="0" relativeHeight="251676672" behindDoc="0" locked="0" layoutInCell="1" allowOverlap="1" wp14:anchorId="3B9564C3" wp14:editId="0B723820">
          <wp:simplePos x="0" y="0"/>
          <wp:positionH relativeFrom="column">
            <wp:posOffset>5304790</wp:posOffset>
          </wp:positionH>
          <wp:positionV relativeFrom="paragraph">
            <wp:posOffset>-139065</wp:posOffset>
          </wp:positionV>
          <wp:extent cx="808990" cy="1044575"/>
          <wp:effectExtent l="0" t="0" r="0" b="3175"/>
          <wp:wrapNone/>
          <wp:docPr id="1740726669" name="Picture 174072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26669" name="Picture 1740726669"/>
                  <pic:cNvPicPr>
                    <a:picLocks noChangeAspect="1" noChangeArrowheads="1"/>
                  </pic:cNvPicPr>
                </pic:nvPicPr>
                <pic:blipFill>
                  <a:blip r:embed="rId1"/>
                  <a:stretch>
                    <a:fillRect/>
                  </a:stretch>
                </pic:blipFill>
                <pic:spPr bwMode="auto">
                  <a:xfrm>
                    <a:off x="0" y="0"/>
                    <a:ext cx="808990" cy="1044575"/>
                  </a:xfrm>
                  <a:prstGeom prst="rect">
                    <a:avLst/>
                  </a:prstGeom>
                  <a:noFill/>
                </pic:spPr>
              </pic:pic>
            </a:graphicData>
          </a:graphic>
          <wp14:sizeRelH relativeFrom="page">
            <wp14:pctWidth>0</wp14:pctWidth>
          </wp14:sizeRelH>
          <wp14:sizeRelV relativeFrom="page">
            <wp14:pctHeight>0</wp14:pctHeight>
          </wp14:sizeRelV>
        </wp:anchor>
      </w:drawing>
    </w:r>
    <w:r w:rsidR="00CA6ADA">
      <mc:AlternateContent>
        <mc:Choice Requires="wps">
          <w:drawing>
            <wp:anchor distT="0" distB="0" distL="114300" distR="114300" simplePos="0" relativeHeight="251674624" behindDoc="0" locked="0" layoutInCell="1" allowOverlap="1" wp14:anchorId="4BF029BC" wp14:editId="1DBC3110">
              <wp:simplePos x="0" y="0"/>
              <wp:positionH relativeFrom="column">
                <wp:posOffset>-64770</wp:posOffset>
              </wp:positionH>
              <wp:positionV relativeFrom="page">
                <wp:posOffset>1154067</wp:posOffset>
              </wp:positionV>
              <wp:extent cx="6181090" cy="20129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81090" cy="201295"/>
                      </a:xfrm>
                      <a:prstGeom prst="rect">
                        <a:avLst/>
                      </a:prstGeom>
                      <a:solidFill>
                        <a:schemeClr val="accent5">
                          <a:lumMod val="75000"/>
                        </a:schemeClr>
                      </a:solidFill>
                      <a:ln w="6350">
                        <a:noFill/>
                        <a:miter lim="800000"/>
                        <a:headEnd/>
                        <a:tailEnd/>
                      </a:ln>
                    </wps:spPr>
                    <wps:txbx>
                      <w:txbxContent>
                        <w:p w14:paraId="122FBCBD" w14:textId="358D263F" w:rsidR="000A68EC" w:rsidRDefault="00C94BD9" w:rsidP="000A68EC">
                          <w:pPr>
                            <w:rPr>
                              <w:rFonts w:ascii="Josefin Sans" w:hAnsi="Josefin Sans"/>
                              <w:color w:val="FFFFFF" w:themeColor="background1"/>
                            </w:rPr>
                          </w:pPr>
                          <w:r w:rsidRPr="00C94BD9">
                            <w:rPr>
                              <w:rFonts w:ascii="Josefin Sans" w:eastAsia="Times New Roman" w:hAnsi="Josefin Sans"/>
                              <w:b/>
                              <w:bCs/>
                              <w:noProof w:val="0"/>
                              <w:color w:val="FFFFFF" w:themeColor="background1"/>
                              <w:sz w:val="26"/>
                              <w:szCs w:val="26"/>
                              <w:lang w:val="en-US"/>
                            </w:rPr>
                            <w:t>REVIEW ARTICLE</w:t>
                          </w:r>
                          <w:r w:rsidR="00D26AA3" w:rsidRPr="00187491">
                            <w:rPr>
                              <w:rFonts w:ascii="Josefin Sans" w:eastAsia="Times New Roman" w:hAnsi="Josefin Sans"/>
                              <w:b/>
                              <w:bCs/>
                              <w:noProof w:val="0"/>
                              <w:color w:val="FFFFFF" w:themeColor="background1"/>
                              <w:sz w:val="26"/>
                              <w:szCs w:val="26"/>
                              <w:lang w:val="en-US"/>
                            </w:rPr>
                            <w:t xml:space="preserve"> </w:t>
                          </w:r>
                          <w:r w:rsidR="000F51A3" w:rsidRPr="00187491">
                            <w:rPr>
                              <w:rFonts w:ascii="Josefin Sans" w:eastAsia="Times New Roman" w:hAnsi="Josefin Sans"/>
                              <w:b/>
                              <w:bCs/>
                              <w:noProof w:val="0"/>
                              <w:color w:val="FFFFFF" w:themeColor="background1"/>
                              <w:sz w:val="26"/>
                              <w:szCs w:val="26"/>
                              <w:lang w:val="en-US"/>
                            </w:rPr>
                            <w:t xml:space="preserve">                 </w:t>
                          </w:r>
                          <w:r w:rsidR="000F51A3" w:rsidRPr="000F51A3">
                            <w:rPr>
                              <w:rFonts w:ascii="Josefin Sans" w:hAnsi="Josefin Sans"/>
                              <w:color w:val="FFFFFF" w:themeColor="background1"/>
                            </w:rPr>
                            <w:t>JPS</w:t>
                          </w:r>
                          <w:r w:rsidR="000A68EC">
                            <w:rPr>
                              <w:rFonts w:ascii="Josefin Sans" w:hAnsi="Josefin Sans"/>
                              <w:color w:val="FFFFFF" w:themeColor="background1"/>
                            </w:rPr>
                            <w:t xml:space="preserve">. </w:t>
                          </w:r>
                          <w:r w:rsidR="000F51A3">
                            <w:rPr>
                              <w:rFonts w:ascii="Josefin Sans" w:hAnsi="Josefin Sans"/>
                              <w:color w:val="FFFFFF" w:themeColor="background1"/>
                            </w:rPr>
                            <w:t>2024</w:t>
                          </w:r>
                          <w:r w:rsidR="000A68EC">
                            <w:rPr>
                              <w:rFonts w:ascii="Josefin Sans" w:hAnsi="Josefin Sans"/>
                              <w:color w:val="FFFFFF" w:themeColor="background1"/>
                            </w:rPr>
                            <w:t xml:space="preserve">, </w:t>
                          </w:r>
                          <w:r w:rsidR="000F51A3">
                            <w:rPr>
                              <w:rFonts w:ascii="Josefin Sans" w:hAnsi="Josefin Sans"/>
                              <w:color w:val="FFFFFF" w:themeColor="background1"/>
                            </w:rPr>
                            <w:t>7</w:t>
                          </w:r>
                          <w:r w:rsidR="000A68EC">
                            <w:rPr>
                              <w:rFonts w:ascii="Josefin Sans" w:hAnsi="Josefin Sans"/>
                              <w:color w:val="FFFFFF" w:themeColor="background1"/>
                            </w:rPr>
                            <w:t>(</w:t>
                          </w:r>
                          <w:r w:rsidR="000F51A3">
                            <w:rPr>
                              <w:rFonts w:ascii="Josefin Sans" w:hAnsi="Josefin Sans"/>
                              <w:color w:val="FFFFFF" w:themeColor="background1"/>
                            </w:rPr>
                            <w:t>1</w:t>
                          </w:r>
                          <w:r w:rsidR="000A68EC">
                            <w:rPr>
                              <w:rFonts w:ascii="Josefin Sans" w:hAnsi="Josefin Sans"/>
                              <w:color w:val="FFFFFF" w:themeColor="background1"/>
                            </w:rPr>
                            <w:t xml:space="preserve">), </w:t>
                          </w:r>
                          <w:r w:rsidR="000F51A3">
                            <w:rPr>
                              <w:rFonts w:ascii="Josefin Sans" w:hAnsi="Josefin Sans"/>
                              <w:color w:val="FFFFFF" w:themeColor="background1"/>
                            </w:rPr>
                            <w:t>1</w:t>
                          </w:r>
                          <w:r w:rsidR="000A68EC">
                            <w:rPr>
                              <w:rFonts w:ascii="Josefin Sans" w:hAnsi="Josefin Sans"/>
                              <w:color w:val="FFFFFF" w:themeColor="background1"/>
                            </w:rPr>
                            <w:t>-</w:t>
                          </w:r>
                          <w:r w:rsidR="000C1C6C">
                            <w:rPr>
                              <w:rFonts w:ascii="Josefin Sans" w:hAnsi="Josefin Sans"/>
                              <w:color w:val="FFFFFF" w:themeColor="background1"/>
                            </w:rPr>
                            <w:t>4</w:t>
                          </w:r>
                        </w:p>
                        <w:p w14:paraId="4C686CCF" w14:textId="77777777" w:rsidR="000A68EC" w:rsidRDefault="000A68EC" w:rsidP="000A68EC">
                          <w:pPr>
                            <w:rPr>
                              <w:rFonts w:ascii="Josefin Sans" w:hAnsi="Josefin Sans"/>
                              <w:color w:val="FFFFFF" w:themeColor="background1"/>
                            </w:rPr>
                          </w:pPr>
                        </w:p>
                      </w:txbxContent>
                    </wps:txbx>
                    <wps:bodyPr rot="0" vert="horz" wrap="square" lIns="36000" tIns="0" rIns="36000" bIns="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F029BC" id="Rectangle 3" o:spid="_x0000_s1029" style="position:absolute;margin-left:-5.1pt;margin-top:90.85pt;width:486.7pt;height:15.8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" fillcolor="#2e74b5 [2408]" stroked="f" strokeweight=".5pt">
              <v:textbox inset="1mm,0,1mm,0">
                <w:txbxContent>
                  <w:p w14:paraId="122FBCBD" w14:textId="358D263F" w:rsidR="000A68EC" w:rsidRDefault="00C94BD9" w:rsidP="000A68EC">
                    <w:pPr>
                      <w:rPr>
                        <w:rFonts w:ascii="Josefin Sans" w:hAnsi="Josefin Sans"/>
                        <w:color w:val="FFFFFF" w:themeColor="background1"/>
                      </w:rPr>
                    </w:pPr>
                    <w:r w:rsidRPr="00C94BD9">
                      <w:rPr>
                        <w:rFonts w:ascii="Josefin Sans" w:eastAsia="Times New Roman" w:hAnsi="Josefin Sans"/>
                        <w:b/>
                        <w:bCs/>
                        <w:noProof w:val="0"/>
                        <w:color w:val="FFFFFF" w:themeColor="background1"/>
                        <w:sz w:val="26"/>
                        <w:szCs w:val="26"/>
                        <w:lang w:val="en-US"/>
                      </w:rPr>
                      <w:t>REVIEW ARTICLE</w:t>
                    </w:r>
                    <w:r w:rsidR="00D26AA3" w:rsidRPr="00187491">
                      <w:rPr>
                        <w:rFonts w:ascii="Josefin Sans" w:eastAsia="Times New Roman" w:hAnsi="Josefin Sans"/>
                        <w:b/>
                        <w:bCs/>
                        <w:noProof w:val="0"/>
                        <w:color w:val="FFFFFF" w:themeColor="background1"/>
                        <w:sz w:val="26"/>
                        <w:szCs w:val="26"/>
                        <w:lang w:val="en-US"/>
                      </w:rPr>
                      <w:t xml:space="preserve"> </w:t>
                    </w:r>
                    <w:r w:rsidR="000F51A3" w:rsidRPr="00187491">
                      <w:rPr>
                        <w:rFonts w:ascii="Josefin Sans" w:eastAsia="Times New Roman" w:hAnsi="Josefin Sans"/>
                        <w:b/>
                        <w:bCs/>
                        <w:noProof w:val="0"/>
                        <w:color w:val="FFFFFF" w:themeColor="background1"/>
                        <w:sz w:val="26"/>
                        <w:szCs w:val="26"/>
                        <w:lang w:val="en-US"/>
                      </w:rPr>
                      <w:t xml:space="preserve">                 </w:t>
                    </w:r>
                    <w:r w:rsidR="000F51A3" w:rsidRPr="000F51A3">
                      <w:rPr>
                        <w:rFonts w:ascii="Josefin Sans" w:hAnsi="Josefin Sans"/>
                        <w:color w:val="FFFFFF" w:themeColor="background1"/>
                      </w:rPr>
                      <w:t>JPS</w:t>
                    </w:r>
                    <w:r w:rsidR="000A68EC">
                      <w:rPr>
                        <w:rFonts w:ascii="Josefin Sans" w:hAnsi="Josefin Sans"/>
                        <w:color w:val="FFFFFF" w:themeColor="background1"/>
                      </w:rPr>
                      <w:t xml:space="preserve">. </w:t>
                    </w:r>
                    <w:r w:rsidR="000F51A3">
                      <w:rPr>
                        <w:rFonts w:ascii="Josefin Sans" w:hAnsi="Josefin Sans"/>
                        <w:color w:val="FFFFFF" w:themeColor="background1"/>
                      </w:rPr>
                      <w:t>2024</w:t>
                    </w:r>
                    <w:r w:rsidR="000A68EC">
                      <w:rPr>
                        <w:rFonts w:ascii="Josefin Sans" w:hAnsi="Josefin Sans"/>
                        <w:color w:val="FFFFFF" w:themeColor="background1"/>
                      </w:rPr>
                      <w:t xml:space="preserve">, </w:t>
                    </w:r>
                    <w:r w:rsidR="000F51A3">
                      <w:rPr>
                        <w:rFonts w:ascii="Josefin Sans" w:hAnsi="Josefin Sans"/>
                        <w:color w:val="FFFFFF" w:themeColor="background1"/>
                      </w:rPr>
                      <w:t>7</w:t>
                    </w:r>
                    <w:r w:rsidR="000A68EC">
                      <w:rPr>
                        <w:rFonts w:ascii="Josefin Sans" w:hAnsi="Josefin Sans"/>
                        <w:color w:val="FFFFFF" w:themeColor="background1"/>
                      </w:rPr>
                      <w:t>(</w:t>
                    </w:r>
                    <w:r w:rsidR="000F51A3">
                      <w:rPr>
                        <w:rFonts w:ascii="Josefin Sans" w:hAnsi="Josefin Sans"/>
                        <w:color w:val="FFFFFF" w:themeColor="background1"/>
                      </w:rPr>
                      <w:t>1</w:t>
                    </w:r>
                    <w:r w:rsidR="000A68EC">
                      <w:rPr>
                        <w:rFonts w:ascii="Josefin Sans" w:hAnsi="Josefin Sans"/>
                        <w:color w:val="FFFFFF" w:themeColor="background1"/>
                      </w:rPr>
                      <w:t xml:space="preserve">), </w:t>
                    </w:r>
                    <w:r w:rsidR="000F51A3">
                      <w:rPr>
                        <w:rFonts w:ascii="Josefin Sans" w:hAnsi="Josefin Sans"/>
                        <w:color w:val="FFFFFF" w:themeColor="background1"/>
                      </w:rPr>
                      <w:t>1</w:t>
                    </w:r>
                    <w:r w:rsidR="000A68EC">
                      <w:rPr>
                        <w:rFonts w:ascii="Josefin Sans" w:hAnsi="Josefin Sans"/>
                        <w:color w:val="FFFFFF" w:themeColor="background1"/>
                      </w:rPr>
                      <w:t>-</w:t>
                    </w:r>
                    <w:r w:rsidR="000C1C6C">
                      <w:rPr>
                        <w:rFonts w:ascii="Josefin Sans" w:hAnsi="Josefin Sans"/>
                        <w:color w:val="FFFFFF" w:themeColor="background1"/>
                      </w:rPr>
                      <w:t>4</w:t>
                    </w:r>
                  </w:p>
                  <w:p w14:paraId="4C686CCF" w14:textId="77777777" w:rsidR="000A68EC" w:rsidRDefault="000A68EC" w:rsidP="000A68EC">
                    <w:pPr>
                      <w:rPr>
                        <w:rFonts w:ascii="Josefin Sans" w:hAnsi="Josefin Sans"/>
                        <w:color w:val="FFFFFF" w:themeColor="background1"/>
                      </w:rPr>
                    </w:pPr>
                  </w:p>
                </w:txbxContent>
              </v:textbox>
              <w10:wrap anchory="page"/>
            </v:rect>
          </w:pict>
        </mc:Fallback>
      </mc:AlternateContent>
    </w:r>
    <w:r w:rsidR="00F90470">
      <mc:AlternateContent>
        <mc:Choice Requires="wps">
          <w:drawing>
            <wp:anchor distT="0" distB="0" distL="114300" distR="114300" simplePos="0" relativeHeight="251673600" behindDoc="0" locked="0" layoutInCell="1" allowOverlap="1" wp14:anchorId="6D475FB5" wp14:editId="5BCAA0EF">
              <wp:simplePos x="0" y="0"/>
              <wp:positionH relativeFrom="column">
                <wp:posOffset>746941</wp:posOffset>
              </wp:positionH>
              <wp:positionV relativeFrom="paragraph">
                <wp:posOffset>-141243</wp:posOffset>
              </wp:positionV>
              <wp:extent cx="4468586" cy="749935"/>
              <wp:effectExtent l="0" t="38100" r="8255" b="5016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4468586" cy="749935"/>
                      </a:xfrm>
                      <a:prstGeom prst="rect">
                        <a:avLst/>
                      </a:prstGeom>
                      <a:noFill/>
                      <a:ln w="6350">
                        <a:noFill/>
                        <a:miter lim="800000"/>
                        <a:headEnd/>
                        <a:tailEnd/>
                      </a:ln>
                    </wps:spPr>
                    <wps:txbx>
                      <w:txbxContent>
                        <w:p w14:paraId="14875154" w14:textId="49B31FC4" w:rsidR="000A68EC" w:rsidRPr="00F90470" w:rsidRDefault="003A0667" w:rsidP="000A68EC">
                          <w:pPr>
                            <w:spacing w:line="380" w:lineRule="exact"/>
                            <w:rPr>
                              <w:rFonts w:ascii="Josefin Sans" w:hAnsi="Josefin Sans" w:cstheme="minorBidi"/>
                              <w:b/>
                              <w:bCs/>
                              <w:color w:val="F58120"/>
                              <w:kern w:val="24"/>
                              <w:sz w:val="40"/>
                              <w:szCs w:val="40"/>
                              <w:lang w:val="en-US"/>
                            </w:rPr>
                          </w:pPr>
                          <w:r w:rsidRPr="00F90470">
                            <w:rPr>
                              <w:rFonts w:ascii="Josefin Sans" w:hAnsi="Josefin Sans" w:cstheme="minorBidi"/>
                              <w:b/>
                              <w:bCs/>
                              <w:color w:val="F58120"/>
                              <w:kern w:val="24"/>
                              <w:sz w:val="26"/>
                              <w:szCs w:val="26"/>
                              <w:lang w:val="en-US"/>
                            </w:rPr>
                            <w:t xml:space="preserve">Journal </w:t>
                          </w:r>
                          <w:r>
                            <w:rPr>
                              <w:rFonts w:ascii="Josefin Sans" w:hAnsi="Josefin Sans" w:cstheme="minorBidi"/>
                              <w:b/>
                              <w:bCs/>
                              <w:color w:val="F58120"/>
                              <w:kern w:val="24"/>
                              <w:sz w:val="26"/>
                              <w:szCs w:val="26"/>
                              <w:lang w:val="en-US"/>
                            </w:rPr>
                            <w:t>o</w:t>
                          </w:r>
                          <w:r w:rsidRPr="00F90470">
                            <w:rPr>
                              <w:rFonts w:ascii="Josefin Sans" w:hAnsi="Josefin Sans" w:cstheme="minorBidi"/>
                              <w:b/>
                              <w:bCs/>
                              <w:color w:val="F58120"/>
                              <w:kern w:val="24"/>
                              <w:sz w:val="26"/>
                              <w:szCs w:val="26"/>
                              <w:lang w:val="en-US"/>
                            </w:rPr>
                            <w:t xml:space="preserve">f Pharmaceutical </w:t>
                          </w:r>
                          <w:r>
                            <w:rPr>
                              <w:rFonts w:ascii="Josefin Sans" w:hAnsi="Josefin Sans" w:cstheme="minorBidi"/>
                              <w:b/>
                              <w:bCs/>
                              <w:color w:val="F58120"/>
                              <w:kern w:val="24"/>
                              <w:sz w:val="26"/>
                              <w:szCs w:val="26"/>
                              <w:lang w:val="en-US"/>
                            </w:rPr>
                            <w:t>a</w:t>
                          </w:r>
                          <w:r w:rsidRPr="00F90470">
                            <w:rPr>
                              <w:rFonts w:ascii="Josefin Sans" w:hAnsi="Josefin Sans" w:cstheme="minorBidi"/>
                              <w:b/>
                              <w:bCs/>
                              <w:color w:val="F58120"/>
                              <w:kern w:val="24"/>
                              <w:sz w:val="26"/>
                              <w:szCs w:val="26"/>
                              <w:lang w:val="en-US"/>
                            </w:rPr>
                            <w:t>nd Sciences</w:t>
                          </w:r>
                        </w:p>
                        <w:p w14:paraId="2647CDFF" w14:textId="2FACB84F" w:rsidR="000A68EC" w:rsidRDefault="00CF183B" w:rsidP="007319BC">
                          <w:pPr>
                            <w:spacing w:after="0" w:line="360" w:lineRule="auto"/>
                            <w:rPr>
                              <w:rFonts w:ascii="Josefin Sans" w:hAnsi="Josefin Sans" w:cstheme="minorBidi"/>
                              <w:b/>
                              <w:bCs/>
                              <w:kern w:val="24"/>
                              <w:sz w:val="18"/>
                              <w:szCs w:val="18"/>
                              <w:lang w:val="en-US"/>
                            </w:rPr>
                          </w:pPr>
                          <w:r w:rsidRPr="00CF183B">
                            <w:rPr>
                              <w:rFonts w:ascii="Josefin Sans" w:hAnsi="Josefin Sans" w:cstheme="minorBidi"/>
                              <w:b/>
                              <w:bCs/>
                              <w:kern w:val="24"/>
                              <w:sz w:val="18"/>
                              <w:szCs w:val="18"/>
                              <w:lang w:val="en-US"/>
                            </w:rPr>
                            <w:t>Electronic ISSN: 2656-3088</w:t>
                          </w:r>
                          <w:r w:rsidR="006E0666">
                            <w:rPr>
                              <w:rFonts w:ascii="Josefin Sans" w:hAnsi="Josefin Sans" w:cstheme="minorBidi"/>
                              <w:b/>
                              <w:bCs/>
                              <w:kern w:val="24"/>
                              <w:sz w:val="18"/>
                              <w:szCs w:val="18"/>
                              <w:lang w:val="en-US"/>
                            </w:rPr>
                            <w:t xml:space="preserve">       </w:t>
                          </w:r>
                          <w:r w:rsidR="000A68EC">
                            <w:rPr>
                              <w:rFonts w:ascii="Josefin Sans" w:hAnsi="Josefin Sans" w:cstheme="minorBidi"/>
                              <w:b/>
                              <w:bCs/>
                              <w:kern w:val="24"/>
                              <w:sz w:val="18"/>
                              <w:szCs w:val="18"/>
                              <w:lang w:val="en-US"/>
                            </w:rPr>
                            <w:t>DOI:</w:t>
                          </w:r>
                          <w:r>
                            <w:rPr>
                              <w:rFonts w:ascii="Josefin Sans" w:hAnsi="Josefin Sans" w:cstheme="minorBidi"/>
                              <w:b/>
                              <w:bCs/>
                              <w:kern w:val="24"/>
                              <w:sz w:val="18"/>
                              <w:szCs w:val="18"/>
                              <w:lang w:val="en-US"/>
                            </w:rPr>
                            <w:t xml:space="preserve"> </w:t>
                          </w:r>
                          <w:r w:rsidRPr="00CF183B">
                            <w:rPr>
                              <w:rFonts w:ascii="Josefin Sans" w:hAnsi="Josefin Sans" w:cstheme="minorBidi"/>
                              <w:b/>
                              <w:bCs/>
                              <w:kern w:val="24"/>
                              <w:sz w:val="18"/>
                              <w:szCs w:val="18"/>
                              <w:lang w:val="en-US"/>
                            </w:rPr>
                            <w:t>https://doi.org/10.36490/journal-jps.com</w:t>
                          </w:r>
                        </w:p>
                        <w:p w14:paraId="2BB6783E" w14:textId="5C6AF8AE" w:rsidR="000A68EC" w:rsidRDefault="000A68EC" w:rsidP="00CF183B">
                          <w:pPr>
                            <w:spacing w:after="0" w:line="240" w:lineRule="auto"/>
                            <w:rPr>
                              <w:rFonts w:ascii="Josefin Sans" w:hAnsi="Josefin Sans" w:cstheme="minorBidi"/>
                              <w:b/>
                              <w:bCs/>
                              <w:kern w:val="24"/>
                              <w:sz w:val="18"/>
                              <w:szCs w:val="18"/>
                              <w:lang w:val="en-US"/>
                            </w:rPr>
                          </w:pPr>
                          <w:r>
                            <w:rPr>
                              <w:rFonts w:ascii="Josefin Sans" w:hAnsi="Josefin Sans" w:cstheme="minorBidi"/>
                              <w:b/>
                              <w:bCs/>
                              <w:kern w:val="24"/>
                              <w:sz w:val="18"/>
                              <w:szCs w:val="18"/>
                              <w:lang w:val="en-US"/>
                            </w:rPr>
                            <w:t xml:space="preserve">Homepage: </w:t>
                          </w:r>
                          <w:r w:rsidR="00E243DD" w:rsidRPr="00E243DD">
                            <w:rPr>
                              <w:rFonts w:ascii="Josefin Sans" w:hAnsi="Josefin Sans" w:cstheme="minorBidi"/>
                              <w:b/>
                              <w:bCs/>
                              <w:kern w:val="24"/>
                              <w:sz w:val="18"/>
                              <w:szCs w:val="18"/>
                              <w:lang w:val="en-US"/>
                            </w:rPr>
                            <w:t>https://journal-jps.com</w:t>
                          </w:r>
                        </w:p>
                      </w:txbxContent>
                    </wps:txbx>
                    <wps:bodyPr rot="0" vert="horz" wrap="square" lIns="36000" tIns="0" rIns="36000" bIns="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475FB5" id="Rectangle 6" o:spid="_x0000_s1030" style="position:absolute;margin-left:58.8pt;margin-top:-11.1pt;width:351.85pt;height:59.05pt;rotation:18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" filled="f" stroked="f" strokeweight=".5pt">
              <v:textbox inset="1mm,0,1mm,0">
                <w:txbxContent>
                  <w:p w14:paraId="14875154" w14:textId="49B31FC4" w:rsidR="000A68EC" w:rsidRPr="00F90470" w:rsidRDefault="003A0667" w:rsidP="000A68EC">
                    <w:pPr>
                      <w:spacing w:line="380" w:lineRule="exact"/>
                      <w:rPr>
                        <w:rFonts w:ascii="Josefin Sans" w:hAnsi="Josefin Sans" w:cstheme="minorBidi"/>
                        <w:b/>
                        <w:bCs/>
                        <w:color w:val="F58120"/>
                        <w:kern w:val="24"/>
                        <w:sz w:val="40"/>
                        <w:szCs w:val="40"/>
                        <w:lang w:val="en-US"/>
                      </w:rPr>
                    </w:pPr>
                    <w:r w:rsidRPr="00F90470">
                      <w:rPr>
                        <w:rFonts w:ascii="Josefin Sans" w:hAnsi="Josefin Sans" w:cstheme="minorBidi"/>
                        <w:b/>
                        <w:bCs/>
                        <w:color w:val="F58120"/>
                        <w:kern w:val="24"/>
                        <w:sz w:val="26"/>
                        <w:szCs w:val="26"/>
                        <w:lang w:val="en-US"/>
                      </w:rPr>
                      <w:t xml:space="preserve">Journal </w:t>
                    </w:r>
                    <w:r>
                      <w:rPr>
                        <w:rFonts w:ascii="Josefin Sans" w:hAnsi="Josefin Sans" w:cstheme="minorBidi"/>
                        <w:b/>
                        <w:bCs/>
                        <w:color w:val="F58120"/>
                        <w:kern w:val="24"/>
                        <w:sz w:val="26"/>
                        <w:szCs w:val="26"/>
                        <w:lang w:val="en-US"/>
                      </w:rPr>
                      <w:t>o</w:t>
                    </w:r>
                    <w:r w:rsidRPr="00F90470">
                      <w:rPr>
                        <w:rFonts w:ascii="Josefin Sans" w:hAnsi="Josefin Sans" w:cstheme="minorBidi"/>
                        <w:b/>
                        <w:bCs/>
                        <w:color w:val="F58120"/>
                        <w:kern w:val="24"/>
                        <w:sz w:val="26"/>
                        <w:szCs w:val="26"/>
                        <w:lang w:val="en-US"/>
                      </w:rPr>
                      <w:t xml:space="preserve">f Pharmaceutical </w:t>
                    </w:r>
                    <w:r>
                      <w:rPr>
                        <w:rFonts w:ascii="Josefin Sans" w:hAnsi="Josefin Sans" w:cstheme="minorBidi"/>
                        <w:b/>
                        <w:bCs/>
                        <w:color w:val="F58120"/>
                        <w:kern w:val="24"/>
                        <w:sz w:val="26"/>
                        <w:szCs w:val="26"/>
                        <w:lang w:val="en-US"/>
                      </w:rPr>
                      <w:t>a</w:t>
                    </w:r>
                    <w:r w:rsidRPr="00F90470">
                      <w:rPr>
                        <w:rFonts w:ascii="Josefin Sans" w:hAnsi="Josefin Sans" w:cstheme="minorBidi"/>
                        <w:b/>
                        <w:bCs/>
                        <w:color w:val="F58120"/>
                        <w:kern w:val="24"/>
                        <w:sz w:val="26"/>
                        <w:szCs w:val="26"/>
                        <w:lang w:val="en-US"/>
                      </w:rPr>
                      <w:t>nd Sciences</w:t>
                    </w:r>
                  </w:p>
                  <w:p w14:paraId="2647CDFF" w14:textId="2FACB84F" w:rsidR="000A68EC" w:rsidRDefault="00CF183B" w:rsidP="007319BC">
                    <w:pPr>
                      <w:spacing w:after="0" w:line="360" w:lineRule="auto"/>
                      <w:rPr>
                        <w:rFonts w:ascii="Josefin Sans" w:hAnsi="Josefin Sans" w:cstheme="minorBidi"/>
                        <w:b/>
                        <w:bCs/>
                        <w:kern w:val="24"/>
                        <w:sz w:val="18"/>
                        <w:szCs w:val="18"/>
                        <w:lang w:val="en-US"/>
                      </w:rPr>
                    </w:pPr>
                    <w:r w:rsidRPr="00CF183B">
                      <w:rPr>
                        <w:rFonts w:ascii="Josefin Sans" w:hAnsi="Josefin Sans" w:cstheme="minorBidi"/>
                        <w:b/>
                        <w:bCs/>
                        <w:kern w:val="24"/>
                        <w:sz w:val="18"/>
                        <w:szCs w:val="18"/>
                        <w:lang w:val="en-US"/>
                      </w:rPr>
                      <w:t>Electronic ISSN: 2656-3088</w:t>
                    </w:r>
                    <w:r w:rsidR="006E0666">
                      <w:rPr>
                        <w:rFonts w:ascii="Josefin Sans" w:hAnsi="Josefin Sans" w:cstheme="minorBidi"/>
                        <w:b/>
                        <w:bCs/>
                        <w:kern w:val="24"/>
                        <w:sz w:val="18"/>
                        <w:szCs w:val="18"/>
                        <w:lang w:val="en-US"/>
                      </w:rPr>
                      <w:t xml:space="preserve">       </w:t>
                    </w:r>
                    <w:r w:rsidR="000A68EC">
                      <w:rPr>
                        <w:rFonts w:ascii="Josefin Sans" w:hAnsi="Josefin Sans" w:cstheme="minorBidi"/>
                        <w:b/>
                        <w:bCs/>
                        <w:kern w:val="24"/>
                        <w:sz w:val="18"/>
                        <w:szCs w:val="18"/>
                        <w:lang w:val="en-US"/>
                      </w:rPr>
                      <w:t>DOI:</w:t>
                    </w:r>
                    <w:r>
                      <w:rPr>
                        <w:rFonts w:ascii="Josefin Sans" w:hAnsi="Josefin Sans" w:cstheme="minorBidi"/>
                        <w:b/>
                        <w:bCs/>
                        <w:kern w:val="24"/>
                        <w:sz w:val="18"/>
                        <w:szCs w:val="18"/>
                        <w:lang w:val="en-US"/>
                      </w:rPr>
                      <w:t xml:space="preserve"> </w:t>
                    </w:r>
                    <w:r w:rsidRPr="00CF183B">
                      <w:rPr>
                        <w:rFonts w:ascii="Josefin Sans" w:hAnsi="Josefin Sans" w:cstheme="minorBidi"/>
                        <w:b/>
                        <w:bCs/>
                        <w:kern w:val="24"/>
                        <w:sz w:val="18"/>
                        <w:szCs w:val="18"/>
                        <w:lang w:val="en-US"/>
                      </w:rPr>
                      <w:t>https://doi.org/10.36490/journal-jps.com</w:t>
                    </w:r>
                  </w:p>
                  <w:p w14:paraId="2BB6783E" w14:textId="5C6AF8AE" w:rsidR="000A68EC" w:rsidRDefault="000A68EC" w:rsidP="00CF183B">
                    <w:pPr>
                      <w:spacing w:after="0" w:line="240" w:lineRule="auto"/>
                      <w:rPr>
                        <w:rFonts w:ascii="Josefin Sans" w:hAnsi="Josefin Sans" w:cstheme="minorBidi"/>
                        <w:b/>
                        <w:bCs/>
                        <w:kern w:val="24"/>
                        <w:sz w:val="18"/>
                        <w:szCs w:val="18"/>
                        <w:lang w:val="en-US"/>
                      </w:rPr>
                    </w:pPr>
                    <w:r>
                      <w:rPr>
                        <w:rFonts w:ascii="Josefin Sans" w:hAnsi="Josefin Sans" w:cstheme="minorBidi"/>
                        <w:b/>
                        <w:bCs/>
                        <w:kern w:val="24"/>
                        <w:sz w:val="18"/>
                        <w:szCs w:val="18"/>
                        <w:lang w:val="en-US"/>
                      </w:rPr>
                      <w:t xml:space="preserve">Homepage: </w:t>
                    </w:r>
                    <w:r w:rsidR="00E243DD" w:rsidRPr="00E243DD">
                      <w:rPr>
                        <w:rFonts w:ascii="Josefin Sans" w:hAnsi="Josefin Sans" w:cstheme="minorBidi"/>
                        <w:b/>
                        <w:bCs/>
                        <w:kern w:val="24"/>
                        <w:sz w:val="18"/>
                        <w:szCs w:val="18"/>
                        <w:lang w:val="en-US"/>
                      </w:rPr>
                      <w:t>https://journal-jps.com</w:t>
                    </w:r>
                  </w:p>
                </w:txbxContent>
              </v:textbox>
            </v:rect>
          </w:pict>
        </mc:Fallback>
      </mc:AlternateContent>
    </w:r>
    <w:r w:rsidR="000A68EC">
      <mc:AlternateContent>
        <mc:Choice Requires="wps">
          <w:drawing>
            <wp:anchor distT="0" distB="0" distL="114300" distR="114300" simplePos="0" relativeHeight="251675648" behindDoc="0" locked="0" layoutInCell="1" allowOverlap="1" wp14:anchorId="662F9EE8" wp14:editId="373B7DA9">
              <wp:simplePos x="0" y="0"/>
              <wp:positionH relativeFrom="column">
                <wp:posOffset>-64770</wp:posOffset>
              </wp:positionH>
              <wp:positionV relativeFrom="paragraph">
                <wp:posOffset>939165</wp:posOffset>
              </wp:positionV>
              <wp:extent cx="6181090" cy="0"/>
              <wp:effectExtent l="0" t="19050" r="29210" b="19050"/>
              <wp:wrapNone/>
              <wp:docPr id="5" name="Straight Connector 5"/>
              <wp:cNvGraphicFramePr/>
              <a:graphic xmlns:a="http://schemas.openxmlformats.org/drawingml/2006/main">
                <a:graphicData uri="http://schemas.microsoft.com/office/word/2010/wordprocessingShape">
                  <wps:wsp>
                    <wps:cNvCnPr/>
                    <wps:spPr>
                      <a:xfrm flipV="1">
                        <a:off x="0" y="0"/>
                        <a:ext cx="6181090" cy="0"/>
                      </a:xfrm>
                      <a:prstGeom prst="line">
                        <a:avLst/>
                      </a:prstGeom>
                      <a:ln w="38100" cmpd="thickThi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E75120" id="Straight Connector 5"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73.95pt" to="481.6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" strokecolor="#ed7d31 [3205]" strokeweight="3pt">
              <v:stroke linestyle="thickThin" joinstyle="miter"/>
            </v:line>
          </w:pict>
        </mc:Fallback>
      </mc:AlternateContent>
    </w:r>
    <w:r w:rsidR="000A68EC">
      <w:rPr>
        <w:rFonts w:ascii="Palatino Linotype" w:eastAsia="Times New Roman" w:hAnsi="Palatino Linotype"/>
        <w:b/>
        <w:i/>
        <w:noProof w:val="0"/>
        <w:sz w:val="20"/>
        <w:szCs w:val="20"/>
        <w:lang w:val="en-US"/>
      </w:rPr>
      <w:t xml:space="preserve"> </w:t>
    </w:r>
    <w:r w:rsidR="000A68EC">
      <w:rPr>
        <w:rFonts w:ascii="Palatino Linotype" w:eastAsia="Times New Roman" w:hAnsi="Palatino Linotype"/>
        <w:b/>
        <w:i/>
        <w:sz w:val="20"/>
        <w:szCs w:val="20"/>
        <w:lang w:val="en-US"/>
      </w:rPr>
      <w:drawing>
        <wp:inline distT="0" distB="0" distL="0" distR="0" wp14:anchorId="577DEA03" wp14:editId="37DB7466">
          <wp:extent cx="576943" cy="535500"/>
          <wp:effectExtent l="0" t="0" r="0" b="0"/>
          <wp:docPr id="845211900" name="Picture 84521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stretch>
                    <a:fillRect/>
                  </a:stretch>
                </pic:blipFill>
                <pic:spPr bwMode="auto">
                  <a:xfrm>
                    <a:off x="0" y="0"/>
                    <a:ext cx="606554" cy="56298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32D12" w14:textId="3C4ECCD0" w:rsidR="00A910D7" w:rsidRPr="00BB1A45" w:rsidRDefault="00500EA1" w:rsidP="00BB1A45">
    <w:pPr>
      <w:tabs>
        <w:tab w:val="center" w:pos="5245"/>
        <w:tab w:val="left" w:pos="9630"/>
        <w:tab w:val="left" w:pos="9656"/>
        <w:tab w:val="left" w:pos="9759"/>
      </w:tabs>
      <w:spacing w:after="0" w:line="240" w:lineRule="auto"/>
      <w:ind w:right="-26"/>
      <w:jc w:val="right"/>
      <w:rPr>
        <w:rFonts w:ascii="Palatino Linotype" w:hAnsi="Palatino Linotype"/>
        <w:b/>
        <w:noProof w:val="0"/>
        <w:color w:val="A66500"/>
        <w:sz w:val="16"/>
        <w:szCs w:val="16"/>
        <w:u w:val="single"/>
        <w:lang w:val="id-ID"/>
      </w:rPr>
    </w:pPr>
    <w:r w:rsidRPr="00BB1A45">
      <w:rPr>
        <w:rFonts w:ascii="Palatino Linotype" w:hAnsi="Palatino Linotype"/>
        <w:b/>
        <w:color w:val="A66500"/>
        <w:sz w:val="16"/>
        <w:szCs w:val="16"/>
      </w:rPr>
      <w:t>Journal of Pharmaceutical and Sciences</w:t>
    </w:r>
    <w:r w:rsidR="007856F9" w:rsidRPr="00BB1A45">
      <w:rPr>
        <w:rFonts w:ascii="Palatino Linotype" w:hAnsi="Palatino Linotype"/>
        <w:b/>
        <w:color w:val="A66500"/>
        <w:sz w:val="16"/>
        <w:szCs w:val="16"/>
      </w:rPr>
      <w:t xml:space="preserve"> 202</w:t>
    </w:r>
    <w:r w:rsidRPr="00BB1A45">
      <w:rPr>
        <w:rFonts w:ascii="Palatino Linotype" w:hAnsi="Palatino Linotype"/>
        <w:b/>
        <w:color w:val="A66500"/>
        <w:sz w:val="16"/>
        <w:szCs w:val="16"/>
      </w:rPr>
      <w:t>4; 7</w:t>
    </w:r>
    <w:r w:rsidR="007856F9" w:rsidRPr="00BB1A45">
      <w:rPr>
        <w:rFonts w:ascii="Palatino Linotype" w:hAnsi="Palatino Linotype"/>
        <w:b/>
        <w:color w:val="A66500"/>
        <w:sz w:val="16"/>
        <w:szCs w:val="16"/>
      </w:rPr>
      <w:t>(</w:t>
    </w:r>
    <w:r w:rsidRPr="00BB1A45">
      <w:rPr>
        <w:rFonts w:ascii="Palatino Linotype" w:hAnsi="Palatino Linotype"/>
        <w:b/>
        <w:color w:val="A66500"/>
        <w:sz w:val="16"/>
        <w:szCs w:val="16"/>
      </w:rPr>
      <w:t>1</w:t>
    </w:r>
    <w:r w:rsidR="007856F9" w:rsidRPr="00BB1A45">
      <w:rPr>
        <w:rFonts w:ascii="Palatino Linotype" w:hAnsi="Palatino Linotype"/>
        <w:b/>
        <w:color w:val="A66500"/>
        <w:sz w:val="16"/>
        <w:szCs w:val="16"/>
      </w:rPr>
      <w:t xml:space="preserve">), </w:t>
    </w:r>
    <w:r w:rsidRPr="00BB1A45">
      <w:rPr>
        <w:rFonts w:ascii="Palatino Linotype" w:hAnsi="Palatino Linotype"/>
        <w:b/>
        <w:color w:val="A66500"/>
        <w:sz w:val="16"/>
        <w:szCs w:val="16"/>
      </w:rPr>
      <w:t>(epaperID)</w:t>
    </w:r>
    <w:r w:rsidR="00BB1A45" w:rsidRPr="00BB1A45">
      <w:rPr>
        <w:rFonts w:ascii="Palatino Linotype" w:hAnsi="Palatino Linotype"/>
        <w:b/>
        <w:color w:val="A66500"/>
        <w:sz w:val="16"/>
        <w:szCs w:val="16"/>
      </w:rPr>
      <w:t>-</w:t>
    </w:r>
    <w:r w:rsidR="00BB1A45" w:rsidRPr="00BB1A45">
      <w:rPr>
        <w:color w:val="A66500"/>
      </w:rPr>
      <w:t xml:space="preserve"> </w:t>
    </w:r>
    <w:r w:rsidR="00BB1A45" w:rsidRPr="00BB1A45">
      <w:rPr>
        <w:rFonts w:ascii="Palatino Linotype" w:hAnsi="Palatino Linotype"/>
        <w:b/>
        <w:color w:val="A66500"/>
        <w:sz w:val="16"/>
        <w:szCs w:val="16"/>
      </w:rPr>
      <w:t>https://doi.org/10.36490/journal-jps.com.v</w:t>
    </w:r>
    <w:r w:rsidR="00803D7A">
      <w:rPr>
        <w:rFonts w:ascii="Palatino Linotype" w:hAnsi="Palatino Linotype"/>
        <w:b/>
        <w:color w:val="A66500"/>
        <w:sz w:val="16"/>
        <w:szCs w:val="16"/>
      </w:rPr>
      <w:t>7</w:t>
    </w:r>
    <w:r w:rsidR="00BB1A45" w:rsidRPr="00BB1A45">
      <w:rPr>
        <w:rFonts w:ascii="Palatino Linotype" w:hAnsi="Palatino Linotype"/>
        <w:b/>
        <w:color w:val="A66500"/>
        <w:sz w:val="16"/>
        <w:szCs w:val="16"/>
      </w:rPr>
      <w:t>i</w:t>
    </w:r>
    <w:r w:rsidR="00803D7A">
      <w:rPr>
        <w:rFonts w:ascii="Palatino Linotype" w:hAnsi="Palatino Linotype"/>
        <w:b/>
        <w:color w:val="A66500"/>
        <w:sz w:val="16"/>
        <w:szCs w:val="1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82C5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7A1A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EC215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4AAD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A140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46B1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0CC6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251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1465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4885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43562"/>
    <w:multiLevelType w:val="multilevel"/>
    <w:tmpl w:val="787ED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750DB1"/>
    <w:multiLevelType w:val="multilevel"/>
    <w:tmpl w:val="C5608586"/>
    <w:lvl w:ilvl="0">
      <w:start w:val="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517106"/>
    <w:multiLevelType w:val="multilevel"/>
    <w:tmpl w:val="726AB392"/>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3B6B19"/>
    <w:multiLevelType w:val="hybridMultilevel"/>
    <w:tmpl w:val="B73051CA"/>
    <w:lvl w:ilvl="0" w:tplc="307EBD2A">
      <w:start w:val="1"/>
      <w:numFmt w:val="decimal"/>
      <w:lvlText w:val="3.%1."/>
      <w:lvlJc w:val="left"/>
      <w:pPr>
        <w:ind w:left="1080" w:hanging="360"/>
      </w:pPr>
      <w:rPr>
        <w:rFonts w:hint="default"/>
        <w:b w:val="0"/>
        <w:bCs w:val="0"/>
        <w:i w:val="0"/>
        <w:iCs w:val="0"/>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5" w15:restartNumberingAfterBreak="0">
    <w:nsid w:val="2F3A064D"/>
    <w:multiLevelType w:val="hybridMultilevel"/>
    <w:tmpl w:val="3FD09CA0"/>
    <w:lvl w:ilvl="0" w:tplc="3ED0375C">
      <w:start w:val="1"/>
      <w:numFmt w:val="decimal"/>
      <w:lvlText w:val="2.%1"/>
      <w:lvlJc w:val="left"/>
      <w:pPr>
        <w:ind w:left="840" w:hanging="360"/>
      </w:pPr>
      <w:rPr>
        <w:rFonts w:hint="default"/>
        <w:b w:val="0"/>
        <w:bCs w:val="0"/>
        <w:sz w:val="24"/>
        <w:szCs w:val="24"/>
      </w:rPr>
    </w:lvl>
    <w:lvl w:ilvl="1" w:tplc="44090019" w:tentative="1">
      <w:start w:val="1"/>
      <w:numFmt w:val="lowerLetter"/>
      <w:lvlText w:val="%2."/>
      <w:lvlJc w:val="left"/>
      <w:pPr>
        <w:ind w:left="1560" w:hanging="360"/>
      </w:pPr>
    </w:lvl>
    <w:lvl w:ilvl="2" w:tplc="4409001B" w:tentative="1">
      <w:start w:val="1"/>
      <w:numFmt w:val="lowerRoman"/>
      <w:lvlText w:val="%3."/>
      <w:lvlJc w:val="right"/>
      <w:pPr>
        <w:ind w:left="2280" w:hanging="180"/>
      </w:pPr>
    </w:lvl>
    <w:lvl w:ilvl="3" w:tplc="4409000F" w:tentative="1">
      <w:start w:val="1"/>
      <w:numFmt w:val="decimal"/>
      <w:lvlText w:val="%4."/>
      <w:lvlJc w:val="left"/>
      <w:pPr>
        <w:ind w:left="3000" w:hanging="360"/>
      </w:pPr>
    </w:lvl>
    <w:lvl w:ilvl="4" w:tplc="44090019" w:tentative="1">
      <w:start w:val="1"/>
      <w:numFmt w:val="lowerLetter"/>
      <w:lvlText w:val="%5."/>
      <w:lvlJc w:val="left"/>
      <w:pPr>
        <w:ind w:left="3720" w:hanging="360"/>
      </w:pPr>
    </w:lvl>
    <w:lvl w:ilvl="5" w:tplc="4409001B" w:tentative="1">
      <w:start w:val="1"/>
      <w:numFmt w:val="lowerRoman"/>
      <w:lvlText w:val="%6."/>
      <w:lvlJc w:val="right"/>
      <w:pPr>
        <w:ind w:left="4440" w:hanging="180"/>
      </w:pPr>
    </w:lvl>
    <w:lvl w:ilvl="6" w:tplc="4409000F" w:tentative="1">
      <w:start w:val="1"/>
      <w:numFmt w:val="decimal"/>
      <w:lvlText w:val="%7."/>
      <w:lvlJc w:val="left"/>
      <w:pPr>
        <w:ind w:left="5160" w:hanging="360"/>
      </w:pPr>
    </w:lvl>
    <w:lvl w:ilvl="7" w:tplc="44090019" w:tentative="1">
      <w:start w:val="1"/>
      <w:numFmt w:val="lowerLetter"/>
      <w:lvlText w:val="%8."/>
      <w:lvlJc w:val="left"/>
      <w:pPr>
        <w:ind w:left="5880" w:hanging="360"/>
      </w:pPr>
    </w:lvl>
    <w:lvl w:ilvl="8" w:tplc="4409001B" w:tentative="1">
      <w:start w:val="1"/>
      <w:numFmt w:val="lowerRoman"/>
      <w:lvlText w:val="%9."/>
      <w:lvlJc w:val="right"/>
      <w:pPr>
        <w:ind w:left="6600" w:hanging="180"/>
      </w:pPr>
    </w:lvl>
  </w:abstractNum>
  <w:abstractNum w:abstractNumId="16" w15:restartNumberingAfterBreak="0">
    <w:nsid w:val="304571D9"/>
    <w:multiLevelType w:val="hybridMultilevel"/>
    <w:tmpl w:val="060696AC"/>
    <w:lvl w:ilvl="0" w:tplc="D5D2597A">
      <w:start w:val="1"/>
      <w:numFmt w:val="decimal"/>
      <w:lvlText w:val="2.%1"/>
      <w:lvlJc w:val="left"/>
      <w:pPr>
        <w:ind w:left="1080" w:hanging="360"/>
      </w:pPr>
      <w:rPr>
        <w:rFonts w:ascii="Times New Roman" w:hAnsi="Times New Roman" w:cs="Times New Roman" w:hint="default"/>
        <w:b w:val="0"/>
        <w:bCs w:val="0"/>
        <w:sz w:val="20"/>
        <w:szCs w:val="24"/>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7" w15:restartNumberingAfterBreak="0">
    <w:nsid w:val="342B1B98"/>
    <w:multiLevelType w:val="hybridMultilevel"/>
    <w:tmpl w:val="9DE86668"/>
    <w:lvl w:ilvl="0" w:tplc="3C46A048">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15:restartNumberingAfterBreak="0">
    <w:nsid w:val="391933FC"/>
    <w:multiLevelType w:val="multilevel"/>
    <w:tmpl w:val="0C2EA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711464"/>
    <w:multiLevelType w:val="hybridMultilevel"/>
    <w:tmpl w:val="DD66130E"/>
    <w:lvl w:ilvl="0" w:tplc="A7340806">
      <w:start w:val="1"/>
      <w:numFmt w:val="decimal"/>
      <w:lvlText w:val="2.%1"/>
      <w:lvlJc w:val="left"/>
      <w:pPr>
        <w:ind w:left="1680" w:hanging="360"/>
      </w:pPr>
      <w:rPr>
        <w:rFonts w:ascii="Times New Roman" w:hAnsi="Times New Roman" w:cs="Times New Roman" w:hint="default"/>
        <w:b w:val="0"/>
        <w:bCs w:val="0"/>
        <w:sz w:val="24"/>
        <w:szCs w:val="24"/>
      </w:rPr>
    </w:lvl>
    <w:lvl w:ilvl="1" w:tplc="44090019" w:tentative="1">
      <w:start w:val="1"/>
      <w:numFmt w:val="lowerLetter"/>
      <w:lvlText w:val="%2."/>
      <w:lvlJc w:val="left"/>
      <w:pPr>
        <w:ind w:left="2400" w:hanging="360"/>
      </w:pPr>
    </w:lvl>
    <w:lvl w:ilvl="2" w:tplc="4409001B" w:tentative="1">
      <w:start w:val="1"/>
      <w:numFmt w:val="lowerRoman"/>
      <w:lvlText w:val="%3."/>
      <w:lvlJc w:val="right"/>
      <w:pPr>
        <w:ind w:left="3120" w:hanging="180"/>
      </w:pPr>
    </w:lvl>
    <w:lvl w:ilvl="3" w:tplc="4409000F" w:tentative="1">
      <w:start w:val="1"/>
      <w:numFmt w:val="decimal"/>
      <w:lvlText w:val="%4."/>
      <w:lvlJc w:val="left"/>
      <w:pPr>
        <w:ind w:left="3840" w:hanging="360"/>
      </w:pPr>
    </w:lvl>
    <w:lvl w:ilvl="4" w:tplc="44090019" w:tentative="1">
      <w:start w:val="1"/>
      <w:numFmt w:val="lowerLetter"/>
      <w:lvlText w:val="%5."/>
      <w:lvlJc w:val="left"/>
      <w:pPr>
        <w:ind w:left="4560" w:hanging="360"/>
      </w:pPr>
    </w:lvl>
    <w:lvl w:ilvl="5" w:tplc="4409001B" w:tentative="1">
      <w:start w:val="1"/>
      <w:numFmt w:val="lowerRoman"/>
      <w:lvlText w:val="%6."/>
      <w:lvlJc w:val="right"/>
      <w:pPr>
        <w:ind w:left="5280" w:hanging="180"/>
      </w:pPr>
    </w:lvl>
    <w:lvl w:ilvl="6" w:tplc="4409000F" w:tentative="1">
      <w:start w:val="1"/>
      <w:numFmt w:val="decimal"/>
      <w:lvlText w:val="%7."/>
      <w:lvlJc w:val="left"/>
      <w:pPr>
        <w:ind w:left="6000" w:hanging="360"/>
      </w:pPr>
    </w:lvl>
    <w:lvl w:ilvl="7" w:tplc="44090019" w:tentative="1">
      <w:start w:val="1"/>
      <w:numFmt w:val="lowerLetter"/>
      <w:lvlText w:val="%8."/>
      <w:lvlJc w:val="left"/>
      <w:pPr>
        <w:ind w:left="6720" w:hanging="360"/>
      </w:pPr>
    </w:lvl>
    <w:lvl w:ilvl="8" w:tplc="4409001B" w:tentative="1">
      <w:start w:val="1"/>
      <w:numFmt w:val="lowerRoman"/>
      <w:lvlText w:val="%9."/>
      <w:lvlJc w:val="right"/>
      <w:pPr>
        <w:ind w:left="7440" w:hanging="180"/>
      </w:pPr>
    </w:lvl>
  </w:abstractNum>
  <w:abstractNum w:abstractNumId="20" w15:restartNumberingAfterBreak="0">
    <w:nsid w:val="3BA60230"/>
    <w:multiLevelType w:val="hybridMultilevel"/>
    <w:tmpl w:val="474A5B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2A246B"/>
    <w:multiLevelType w:val="hybridMultilevel"/>
    <w:tmpl w:val="F9B0649E"/>
    <w:lvl w:ilvl="0" w:tplc="77C67BF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DD54B5E"/>
    <w:multiLevelType w:val="hybridMultilevel"/>
    <w:tmpl w:val="32DCAF4E"/>
    <w:lvl w:ilvl="0" w:tplc="BC966894">
      <w:start w:val="1"/>
      <w:numFmt w:val="decimal"/>
      <w:lvlText w:val="%1."/>
      <w:lvlJc w:val="left"/>
      <w:pPr>
        <w:ind w:left="360" w:hanging="360"/>
      </w:pPr>
      <w:rPr>
        <w:rFonts w:ascii="Times New Roman" w:hAnsi="Times New Roman" w:cs="Times New Roman" w:hint="default"/>
        <w:b/>
        <w:bCs/>
        <w:sz w:val="20"/>
        <w:szCs w:val="24"/>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3" w15:restartNumberingAfterBreak="0">
    <w:nsid w:val="3DF523A3"/>
    <w:multiLevelType w:val="hybridMultilevel"/>
    <w:tmpl w:val="79F658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1385312"/>
    <w:multiLevelType w:val="hybridMultilevel"/>
    <w:tmpl w:val="33243B26"/>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604E40"/>
    <w:multiLevelType w:val="hybridMultilevel"/>
    <w:tmpl w:val="C14ACC30"/>
    <w:lvl w:ilvl="0" w:tplc="D5FCD24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E05E73"/>
    <w:multiLevelType w:val="hybridMultilevel"/>
    <w:tmpl w:val="566499AC"/>
    <w:lvl w:ilvl="0" w:tplc="E35A893E">
      <w:start w:val="1"/>
      <w:numFmt w:val="decimal"/>
      <w:lvlText w:val="3.%1."/>
      <w:lvlJc w:val="left"/>
      <w:pPr>
        <w:ind w:left="720" w:hanging="360"/>
      </w:pPr>
      <w:rPr>
        <w:rFonts w:hint="default"/>
        <w:b w:val="0"/>
        <w:bCs w:val="0"/>
        <w:i w:val="0"/>
        <w:i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15:restartNumberingAfterBreak="0">
    <w:nsid w:val="46F263AA"/>
    <w:multiLevelType w:val="multilevel"/>
    <w:tmpl w:val="05E0C4B2"/>
    <w:lvl w:ilvl="0">
      <w:start w:val="1"/>
      <w:numFmt w:val="decimal"/>
      <w:lvlText w:val="[%1]"/>
      <w:lvlJc w:val="left"/>
      <w:pPr>
        <w:ind w:left="502" w:hanging="360"/>
      </w:pPr>
      <w:rPr>
        <w:rFonts w:hint="default"/>
        <w:sz w:val="20"/>
        <w:szCs w:val="2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8" w15:restartNumberingAfterBreak="0">
    <w:nsid w:val="49A63866"/>
    <w:multiLevelType w:val="hybridMultilevel"/>
    <w:tmpl w:val="F4447AE2"/>
    <w:lvl w:ilvl="0" w:tplc="AABC7FE4">
      <w:start w:val="5"/>
      <w:numFmt w:val="decimal"/>
      <w:lvlText w:val="2.%1"/>
      <w:lvlJc w:val="left"/>
      <w:pPr>
        <w:ind w:left="1080" w:hanging="360"/>
      </w:pPr>
      <w:rPr>
        <w:rFonts w:ascii="Times New Roman" w:hAnsi="Times New Roman" w:cs="Times New Roman" w:hint="default"/>
        <w:b w:val="0"/>
        <w:bCs w:val="0"/>
        <w:sz w:val="20"/>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 w15:restartNumberingAfterBreak="0">
    <w:nsid w:val="52B9547A"/>
    <w:multiLevelType w:val="multilevel"/>
    <w:tmpl w:val="07769802"/>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FA154D"/>
    <w:multiLevelType w:val="multilevel"/>
    <w:tmpl w:val="7122BC22"/>
    <w:lvl w:ilvl="0">
      <w:start w:val="1"/>
      <w:numFmt w:val="decimal"/>
      <w:lvlText w:val="3.%1."/>
      <w:lvlJc w:val="left"/>
      <w:pPr>
        <w:ind w:left="1080" w:hanging="360"/>
      </w:pPr>
      <w:rPr>
        <w:rFonts w:hint="default"/>
        <w:b w:val="0"/>
        <w:bCs w:val="0"/>
        <w:i w:val="0"/>
        <w:i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57D56165"/>
    <w:multiLevelType w:val="hybridMultilevel"/>
    <w:tmpl w:val="38D49522"/>
    <w:lvl w:ilvl="0" w:tplc="CDC8F10C">
      <w:start w:val="1"/>
      <w:numFmt w:val="decimal"/>
      <w:lvlText w:val="2.%1"/>
      <w:lvlJc w:val="left"/>
      <w:pPr>
        <w:ind w:left="720" w:hanging="360"/>
      </w:pPr>
      <w:rPr>
        <w:rFonts w:ascii="Times New Roman" w:hAnsi="Times New Roman" w:cs="Times New Roman" w:hint="default"/>
        <w:b w:val="0"/>
        <w:bCs w:val="0"/>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2" w15:restartNumberingAfterBreak="0">
    <w:nsid w:val="58B325CB"/>
    <w:multiLevelType w:val="hybridMultilevel"/>
    <w:tmpl w:val="79F65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F91703"/>
    <w:multiLevelType w:val="hybridMultilevel"/>
    <w:tmpl w:val="DE8AD04E"/>
    <w:lvl w:ilvl="0" w:tplc="CC3801BC">
      <w:start w:val="2"/>
      <w:numFmt w:val="decimal"/>
      <w:lvlText w:val="2.%1"/>
      <w:lvlJc w:val="left"/>
      <w:pPr>
        <w:ind w:left="1080" w:hanging="360"/>
      </w:pPr>
      <w:rPr>
        <w:rFonts w:ascii="Times New Roman" w:hAnsi="Times New Roman" w:cs="Times New Roman" w:hint="default"/>
        <w:b w:val="0"/>
        <w:bCs w:val="0"/>
        <w:sz w:val="20"/>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4" w15:restartNumberingAfterBreak="0">
    <w:nsid w:val="5CED349B"/>
    <w:multiLevelType w:val="hybridMultilevel"/>
    <w:tmpl w:val="557AC454"/>
    <w:lvl w:ilvl="0" w:tplc="DDFCB8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4F42F5E"/>
    <w:multiLevelType w:val="hybridMultilevel"/>
    <w:tmpl w:val="B8F4E5F2"/>
    <w:lvl w:ilvl="0" w:tplc="010C8274">
      <w:start w:val="1"/>
      <w:numFmt w:val="decimal"/>
      <w:lvlText w:val="2.%1"/>
      <w:lvlJc w:val="left"/>
      <w:pPr>
        <w:ind w:left="1080" w:hanging="360"/>
      </w:pPr>
      <w:rPr>
        <w:rFonts w:hint="default"/>
        <w:b w:val="0"/>
        <w:bCs w:val="0"/>
        <w:sz w:val="24"/>
        <w:szCs w:val="24"/>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6" w15:restartNumberingAfterBreak="0">
    <w:nsid w:val="658B5573"/>
    <w:multiLevelType w:val="multilevel"/>
    <w:tmpl w:val="E40C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8D22BF"/>
    <w:multiLevelType w:val="multilevel"/>
    <w:tmpl w:val="75E8C69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CC2443"/>
    <w:multiLevelType w:val="hybridMultilevel"/>
    <w:tmpl w:val="D17045E6"/>
    <w:lvl w:ilvl="0" w:tplc="C72EC926">
      <w:start w:val="1"/>
      <w:numFmt w:val="decimal"/>
      <w:lvlText w:val="2.%1"/>
      <w:lvlJc w:val="left"/>
      <w:pPr>
        <w:ind w:left="1250" w:hanging="360"/>
      </w:pPr>
      <w:rPr>
        <w:rFonts w:hint="default"/>
        <w:b/>
        <w:bCs/>
        <w:sz w:val="24"/>
        <w:szCs w:val="24"/>
      </w:rPr>
    </w:lvl>
    <w:lvl w:ilvl="1" w:tplc="44090019" w:tentative="1">
      <w:start w:val="1"/>
      <w:numFmt w:val="lowerLetter"/>
      <w:lvlText w:val="%2."/>
      <w:lvlJc w:val="left"/>
      <w:pPr>
        <w:ind w:left="1970" w:hanging="360"/>
      </w:pPr>
    </w:lvl>
    <w:lvl w:ilvl="2" w:tplc="4409001B" w:tentative="1">
      <w:start w:val="1"/>
      <w:numFmt w:val="lowerRoman"/>
      <w:lvlText w:val="%3."/>
      <w:lvlJc w:val="right"/>
      <w:pPr>
        <w:ind w:left="2690" w:hanging="180"/>
      </w:pPr>
    </w:lvl>
    <w:lvl w:ilvl="3" w:tplc="4409000F" w:tentative="1">
      <w:start w:val="1"/>
      <w:numFmt w:val="decimal"/>
      <w:lvlText w:val="%4."/>
      <w:lvlJc w:val="left"/>
      <w:pPr>
        <w:ind w:left="3410" w:hanging="360"/>
      </w:pPr>
    </w:lvl>
    <w:lvl w:ilvl="4" w:tplc="44090019" w:tentative="1">
      <w:start w:val="1"/>
      <w:numFmt w:val="lowerLetter"/>
      <w:lvlText w:val="%5."/>
      <w:lvlJc w:val="left"/>
      <w:pPr>
        <w:ind w:left="4130" w:hanging="360"/>
      </w:pPr>
    </w:lvl>
    <w:lvl w:ilvl="5" w:tplc="4409001B" w:tentative="1">
      <w:start w:val="1"/>
      <w:numFmt w:val="lowerRoman"/>
      <w:lvlText w:val="%6."/>
      <w:lvlJc w:val="right"/>
      <w:pPr>
        <w:ind w:left="4850" w:hanging="180"/>
      </w:pPr>
    </w:lvl>
    <w:lvl w:ilvl="6" w:tplc="4409000F" w:tentative="1">
      <w:start w:val="1"/>
      <w:numFmt w:val="decimal"/>
      <w:lvlText w:val="%7."/>
      <w:lvlJc w:val="left"/>
      <w:pPr>
        <w:ind w:left="5570" w:hanging="360"/>
      </w:pPr>
    </w:lvl>
    <w:lvl w:ilvl="7" w:tplc="44090019" w:tentative="1">
      <w:start w:val="1"/>
      <w:numFmt w:val="lowerLetter"/>
      <w:lvlText w:val="%8."/>
      <w:lvlJc w:val="left"/>
      <w:pPr>
        <w:ind w:left="6290" w:hanging="360"/>
      </w:pPr>
    </w:lvl>
    <w:lvl w:ilvl="8" w:tplc="4409001B" w:tentative="1">
      <w:start w:val="1"/>
      <w:numFmt w:val="lowerRoman"/>
      <w:lvlText w:val="%9."/>
      <w:lvlJc w:val="right"/>
      <w:pPr>
        <w:ind w:left="7010" w:hanging="180"/>
      </w:pPr>
    </w:lvl>
  </w:abstractNum>
  <w:abstractNum w:abstractNumId="39" w15:restartNumberingAfterBreak="0">
    <w:nsid w:val="70AB1BAD"/>
    <w:multiLevelType w:val="multilevel"/>
    <w:tmpl w:val="ECC27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C72EDE"/>
    <w:multiLevelType w:val="multilevel"/>
    <w:tmpl w:val="921CD6EA"/>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877624"/>
    <w:multiLevelType w:val="hybridMultilevel"/>
    <w:tmpl w:val="15862E9E"/>
    <w:lvl w:ilvl="0" w:tplc="CD943D90">
      <w:start w:val="1"/>
      <w:numFmt w:val="decimal"/>
      <w:lvlText w:val="5.3.%1 "/>
      <w:lvlJc w:val="left"/>
      <w:pPr>
        <w:ind w:left="720" w:hanging="360"/>
      </w:pPr>
      <w:rPr>
        <w:rFonts w:hint="default"/>
        <w:b/>
        <w:bCs/>
        <w:i w:val="0"/>
        <w:iCs w:val="0"/>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2" w15:restartNumberingAfterBreak="0">
    <w:nsid w:val="76BC6628"/>
    <w:multiLevelType w:val="hybridMultilevel"/>
    <w:tmpl w:val="8DEE47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35612F"/>
    <w:multiLevelType w:val="hybridMultilevel"/>
    <w:tmpl w:val="9BB0246C"/>
    <w:lvl w:ilvl="0" w:tplc="D42A0C0C">
      <w:start w:val="1"/>
      <w:numFmt w:val="decimal"/>
      <w:lvlText w:val="7.6.%1"/>
      <w:lvlJc w:val="left"/>
      <w:pPr>
        <w:ind w:left="1080" w:hanging="360"/>
      </w:pPr>
      <w:rPr>
        <w:rFonts w:hint="default"/>
        <w:b/>
        <w:bCs/>
        <w:i w:val="0"/>
        <w:iCs w:val="0"/>
        <w:sz w:val="24"/>
        <w:szCs w:val="24"/>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44" w15:restartNumberingAfterBreak="0">
    <w:nsid w:val="7CF63E4D"/>
    <w:multiLevelType w:val="hybridMultilevel"/>
    <w:tmpl w:val="AEBC0E1A"/>
    <w:lvl w:ilvl="0" w:tplc="4C9C8D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2C5196"/>
    <w:multiLevelType w:val="hybridMultilevel"/>
    <w:tmpl w:val="707A9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A60F03"/>
    <w:multiLevelType w:val="multilevel"/>
    <w:tmpl w:val="0FD01CC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1667637">
    <w:abstractNumId w:val="22"/>
  </w:num>
  <w:num w:numId="2" w16cid:durableId="977683660">
    <w:abstractNumId w:val="16"/>
  </w:num>
  <w:num w:numId="3" w16cid:durableId="1159882906">
    <w:abstractNumId w:val="35"/>
  </w:num>
  <w:num w:numId="4" w16cid:durableId="1808206563">
    <w:abstractNumId w:val="15"/>
  </w:num>
  <w:num w:numId="5" w16cid:durableId="1162506752">
    <w:abstractNumId w:val="31"/>
  </w:num>
  <w:num w:numId="6" w16cid:durableId="300497572">
    <w:abstractNumId w:val="38"/>
  </w:num>
  <w:num w:numId="7" w16cid:durableId="1206139843">
    <w:abstractNumId w:val="19"/>
  </w:num>
  <w:num w:numId="8" w16cid:durableId="776677422">
    <w:abstractNumId w:val="28"/>
  </w:num>
  <w:num w:numId="9" w16cid:durableId="269287586">
    <w:abstractNumId w:val="43"/>
  </w:num>
  <w:num w:numId="10" w16cid:durableId="603658608">
    <w:abstractNumId w:val="33"/>
  </w:num>
  <w:num w:numId="11" w16cid:durableId="1656110192">
    <w:abstractNumId w:val="41"/>
  </w:num>
  <w:num w:numId="12" w16cid:durableId="1762407994">
    <w:abstractNumId w:val="14"/>
  </w:num>
  <w:num w:numId="13" w16cid:durableId="1113400541">
    <w:abstractNumId w:val="26"/>
  </w:num>
  <w:num w:numId="14" w16cid:durableId="1852985321">
    <w:abstractNumId w:val="30"/>
  </w:num>
  <w:num w:numId="15" w16cid:durableId="1365591812">
    <w:abstractNumId w:val="20"/>
  </w:num>
  <w:num w:numId="16" w16cid:durableId="1908033907">
    <w:abstractNumId w:val="17"/>
  </w:num>
  <w:num w:numId="17" w16cid:durableId="414325973">
    <w:abstractNumId w:val="12"/>
  </w:num>
  <w:num w:numId="18" w16cid:durableId="12597528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737201">
    <w:abstractNumId w:val="25"/>
  </w:num>
  <w:num w:numId="20" w16cid:durableId="29259942">
    <w:abstractNumId w:val="44"/>
  </w:num>
  <w:num w:numId="21" w16cid:durableId="681471959">
    <w:abstractNumId w:val="37"/>
  </w:num>
  <w:num w:numId="22" w16cid:durableId="1428191475">
    <w:abstractNumId w:val="46"/>
  </w:num>
  <w:num w:numId="23" w16cid:durableId="746418924">
    <w:abstractNumId w:val="13"/>
  </w:num>
  <w:num w:numId="24" w16cid:durableId="1322537009">
    <w:abstractNumId w:val="29"/>
  </w:num>
  <w:num w:numId="25" w16cid:durableId="1383939327">
    <w:abstractNumId w:val="40"/>
  </w:num>
  <w:num w:numId="26" w16cid:durableId="112291624">
    <w:abstractNumId w:val="11"/>
  </w:num>
  <w:num w:numId="27" w16cid:durableId="465582601">
    <w:abstractNumId w:val="0"/>
  </w:num>
  <w:num w:numId="28" w16cid:durableId="1216970351">
    <w:abstractNumId w:val="1"/>
  </w:num>
  <w:num w:numId="29" w16cid:durableId="1555003160">
    <w:abstractNumId w:val="2"/>
  </w:num>
  <w:num w:numId="30" w16cid:durableId="1822036013">
    <w:abstractNumId w:val="3"/>
  </w:num>
  <w:num w:numId="31" w16cid:durableId="962465456">
    <w:abstractNumId w:val="8"/>
  </w:num>
  <w:num w:numId="32" w16cid:durableId="1772122641">
    <w:abstractNumId w:val="4"/>
  </w:num>
  <w:num w:numId="33" w16cid:durableId="1059204205">
    <w:abstractNumId w:val="5"/>
  </w:num>
  <w:num w:numId="34" w16cid:durableId="1412629021">
    <w:abstractNumId w:val="6"/>
  </w:num>
  <w:num w:numId="35" w16cid:durableId="1499223668">
    <w:abstractNumId w:val="7"/>
  </w:num>
  <w:num w:numId="36" w16cid:durableId="636842251">
    <w:abstractNumId w:val="9"/>
  </w:num>
  <w:num w:numId="37" w16cid:durableId="628514003">
    <w:abstractNumId w:val="27"/>
  </w:num>
  <w:num w:numId="38" w16cid:durableId="1909461872">
    <w:abstractNumId w:val="39"/>
  </w:num>
  <w:num w:numId="39" w16cid:durableId="80297339">
    <w:abstractNumId w:val="18"/>
  </w:num>
  <w:num w:numId="40" w16cid:durableId="1819148721">
    <w:abstractNumId w:val="10"/>
  </w:num>
  <w:num w:numId="41" w16cid:durableId="1099830520">
    <w:abstractNumId w:val="36"/>
  </w:num>
  <w:num w:numId="42" w16cid:durableId="1207645168">
    <w:abstractNumId w:val="32"/>
  </w:num>
  <w:num w:numId="43" w16cid:durableId="1493255423">
    <w:abstractNumId w:val="23"/>
  </w:num>
  <w:num w:numId="44" w16cid:durableId="81951476">
    <w:abstractNumId w:val="45"/>
  </w:num>
  <w:num w:numId="45" w16cid:durableId="1182551424">
    <w:abstractNumId w:val="34"/>
  </w:num>
  <w:num w:numId="46" w16cid:durableId="2073573747">
    <w:abstractNumId w:val="21"/>
  </w:num>
  <w:num w:numId="47" w16cid:durableId="575016832">
    <w:abstractNumId w:val="42"/>
  </w:num>
  <w:num w:numId="48" w16cid:durableId="146578070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SwMDc2MDU3sjQ3sDRS0lEKTi0uzszPAykwtKgFAMl694AtAAAA"/>
    <w:docVar w:name="EN.InstantFormat" w:val="&lt;ENInstantFormat&gt;&lt;Enabled&gt;1&lt;/Enabled&gt;&lt;ScanUnformatted&gt;1&lt;/ScanUnformatted&gt;&lt;ScanChanges&gt;1&lt;/ScanChanges&gt;&lt;Suspended&gt;0&lt;/Suspended&gt;&lt;/ENInstantFormat&gt;"/>
    <w:docVar w:name="EN.Layout" w:val="&lt;ENLayout&gt;&lt;Style&gt;UTM forma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9z2adxvlza5deeszvlps2edfs5efw0zrfv5&quot;&gt;Hamid 2&lt;record-ids&gt;&lt;item&gt;28&lt;/item&gt;&lt;item&gt;39&lt;/item&gt;&lt;item&gt;41&lt;/item&gt;&lt;item&gt;43&lt;/item&gt;&lt;item&gt;252&lt;/item&gt;&lt;item&gt;265&lt;/item&gt;&lt;item&gt;267&lt;/item&gt;&lt;item&gt;278&lt;/item&gt;&lt;item&gt;301&lt;/item&gt;&lt;item&gt;313&lt;/item&gt;&lt;item&gt;353&lt;/item&gt;&lt;item&gt;372&lt;/item&gt;&lt;item&gt;386&lt;/item&gt;&lt;item&gt;394&lt;/item&gt;&lt;item&gt;415&lt;/item&gt;&lt;item&gt;423&lt;/item&gt;&lt;item&gt;433&lt;/item&gt;&lt;item&gt;436&lt;/item&gt;&lt;item&gt;447&lt;/item&gt;&lt;item&gt;449&lt;/item&gt;&lt;item&gt;452&lt;/item&gt;&lt;item&gt;531&lt;/item&gt;&lt;item&gt;536&lt;/item&gt;&lt;item&gt;551&lt;/item&gt;&lt;item&gt;554&lt;/item&gt;&lt;item&gt;562&lt;/item&gt;&lt;item&gt;566&lt;/item&gt;&lt;item&gt;604&lt;/item&gt;&lt;item&gt;616&lt;/item&gt;&lt;item&gt;618&lt;/item&gt;&lt;item&gt;637&lt;/item&gt;&lt;item&gt;656&lt;/item&gt;&lt;item&gt;665&lt;/item&gt;&lt;item&gt;684&lt;/item&gt;&lt;item&gt;919&lt;/item&gt;&lt;item&gt;944&lt;/item&gt;&lt;item&gt;953&lt;/item&gt;&lt;item&gt;960&lt;/item&gt;&lt;item&gt;961&lt;/item&gt;&lt;item&gt;962&lt;/item&gt;&lt;item&gt;979&lt;/item&gt;&lt;item&gt;983&lt;/item&gt;&lt;item&gt;1017&lt;/item&gt;&lt;item&gt;1031&lt;/item&gt;&lt;/record-ids&gt;&lt;/item&gt;&lt;item db-id=&quot;dap0v5pvrxwsacepvt5vp297prrrxdrrwst0&quot;&gt;My thesis 2014&lt;record-ids&gt;&lt;item&gt;414&lt;/item&gt;&lt;/record-ids&gt;&lt;/item&gt;&lt;item db-id=&quot;r2pver9vlaszvoer92ov9zp6pazp2svdx05z&quot;&gt;My EndNote Library, imazalil sulphate&lt;record-ids&gt;&lt;item&gt;45&lt;/item&gt;&lt;/record-ids&gt;&lt;/item&gt;&lt;item db-id=&quot;xvsz5pvvrxewf5eed08v09595trpevw2zfae&quot;&gt;Hamid&lt;record-ids&gt;&lt;item&gt;675&lt;/item&gt;&lt;/record-ids&gt;&lt;/item&gt;&lt;/Libraries&gt;"/>
  </w:docVars>
  <w:rsids>
    <w:rsidRoot w:val="004F497F"/>
    <w:rsid w:val="00000762"/>
    <w:rsid w:val="00000A05"/>
    <w:rsid w:val="00003E5B"/>
    <w:rsid w:val="00004D78"/>
    <w:rsid w:val="00006B2E"/>
    <w:rsid w:val="00006D08"/>
    <w:rsid w:val="00006DC6"/>
    <w:rsid w:val="00007443"/>
    <w:rsid w:val="00007E6D"/>
    <w:rsid w:val="00010B74"/>
    <w:rsid w:val="00011280"/>
    <w:rsid w:val="000153F7"/>
    <w:rsid w:val="000163BE"/>
    <w:rsid w:val="00017060"/>
    <w:rsid w:val="000171A4"/>
    <w:rsid w:val="00017BC5"/>
    <w:rsid w:val="0002046A"/>
    <w:rsid w:val="00020FAD"/>
    <w:rsid w:val="00022C53"/>
    <w:rsid w:val="00022C55"/>
    <w:rsid w:val="00024F84"/>
    <w:rsid w:val="00025955"/>
    <w:rsid w:val="00026C9D"/>
    <w:rsid w:val="000318E1"/>
    <w:rsid w:val="00032619"/>
    <w:rsid w:val="00032731"/>
    <w:rsid w:val="00033163"/>
    <w:rsid w:val="000336F3"/>
    <w:rsid w:val="00033FD0"/>
    <w:rsid w:val="000351FF"/>
    <w:rsid w:val="000360D8"/>
    <w:rsid w:val="00036C07"/>
    <w:rsid w:val="00036EE8"/>
    <w:rsid w:val="0003788D"/>
    <w:rsid w:val="00037F2F"/>
    <w:rsid w:val="00041B40"/>
    <w:rsid w:val="00042BCD"/>
    <w:rsid w:val="00042CAB"/>
    <w:rsid w:val="000438CC"/>
    <w:rsid w:val="00043A06"/>
    <w:rsid w:val="00043D9F"/>
    <w:rsid w:val="0004473A"/>
    <w:rsid w:val="00044A35"/>
    <w:rsid w:val="00045BD5"/>
    <w:rsid w:val="00045FEF"/>
    <w:rsid w:val="000467BF"/>
    <w:rsid w:val="00047602"/>
    <w:rsid w:val="00047A92"/>
    <w:rsid w:val="00047C29"/>
    <w:rsid w:val="00047CA7"/>
    <w:rsid w:val="0005161C"/>
    <w:rsid w:val="000516BC"/>
    <w:rsid w:val="00053AEB"/>
    <w:rsid w:val="000559E4"/>
    <w:rsid w:val="00055C41"/>
    <w:rsid w:val="00055CB7"/>
    <w:rsid w:val="00056253"/>
    <w:rsid w:val="000568CB"/>
    <w:rsid w:val="00056DED"/>
    <w:rsid w:val="0006039F"/>
    <w:rsid w:val="00062457"/>
    <w:rsid w:val="000624C2"/>
    <w:rsid w:val="0006266A"/>
    <w:rsid w:val="00063773"/>
    <w:rsid w:val="00065653"/>
    <w:rsid w:val="00065EFC"/>
    <w:rsid w:val="00066AAE"/>
    <w:rsid w:val="00070CA3"/>
    <w:rsid w:val="00072D41"/>
    <w:rsid w:val="0007508B"/>
    <w:rsid w:val="000771FF"/>
    <w:rsid w:val="0008050C"/>
    <w:rsid w:val="0008111D"/>
    <w:rsid w:val="00082DF5"/>
    <w:rsid w:val="00082EB4"/>
    <w:rsid w:val="00084358"/>
    <w:rsid w:val="000857D7"/>
    <w:rsid w:val="00085E45"/>
    <w:rsid w:val="00091E18"/>
    <w:rsid w:val="000930ED"/>
    <w:rsid w:val="00093F29"/>
    <w:rsid w:val="00094231"/>
    <w:rsid w:val="00094C7E"/>
    <w:rsid w:val="0009542F"/>
    <w:rsid w:val="00095BF6"/>
    <w:rsid w:val="00097023"/>
    <w:rsid w:val="00097103"/>
    <w:rsid w:val="000A0995"/>
    <w:rsid w:val="000A1599"/>
    <w:rsid w:val="000A19C0"/>
    <w:rsid w:val="000A1E12"/>
    <w:rsid w:val="000A21CD"/>
    <w:rsid w:val="000A256E"/>
    <w:rsid w:val="000A2E2F"/>
    <w:rsid w:val="000A3077"/>
    <w:rsid w:val="000A31C7"/>
    <w:rsid w:val="000A4299"/>
    <w:rsid w:val="000A4FE4"/>
    <w:rsid w:val="000A5A23"/>
    <w:rsid w:val="000A6376"/>
    <w:rsid w:val="000A68EC"/>
    <w:rsid w:val="000A7EFA"/>
    <w:rsid w:val="000B1B5B"/>
    <w:rsid w:val="000B579F"/>
    <w:rsid w:val="000B60F3"/>
    <w:rsid w:val="000B657E"/>
    <w:rsid w:val="000B7679"/>
    <w:rsid w:val="000C1C6C"/>
    <w:rsid w:val="000C406B"/>
    <w:rsid w:val="000C496E"/>
    <w:rsid w:val="000C4A43"/>
    <w:rsid w:val="000C57BB"/>
    <w:rsid w:val="000C62F0"/>
    <w:rsid w:val="000C74C1"/>
    <w:rsid w:val="000C7A38"/>
    <w:rsid w:val="000D06AB"/>
    <w:rsid w:val="000D153F"/>
    <w:rsid w:val="000D1777"/>
    <w:rsid w:val="000D1F3C"/>
    <w:rsid w:val="000D2660"/>
    <w:rsid w:val="000D2790"/>
    <w:rsid w:val="000D373F"/>
    <w:rsid w:val="000D4CAD"/>
    <w:rsid w:val="000D66E7"/>
    <w:rsid w:val="000D68AE"/>
    <w:rsid w:val="000E0F37"/>
    <w:rsid w:val="000E1511"/>
    <w:rsid w:val="000E21FA"/>
    <w:rsid w:val="000E221A"/>
    <w:rsid w:val="000E2D4B"/>
    <w:rsid w:val="000E3166"/>
    <w:rsid w:val="000E51E5"/>
    <w:rsid w:val="000E51F9"/>
    <w:rsid w:val="000E53F6"/>
    <w:rsid w:val="000E60F1"/>
    <w:rsid w:val="000E6352"/>
    <w:rsid w:val="000E63C7"/>
    <w:rsid w:val="000E732D"/>
    <w:rsid w:val="000E7D48"/>
    <w:rsid w:val="000F1AE6"/>
    <w:rsid w:val="000F3BB1"/>
    <w:rsid w:val="000F3EBA"/>
    <w:rsid w:val="000F46A2"/>
    <w:rsid w:val="000F4B2D"/>
    <w:rsid w:val="000F4B58"/>
    <w:rsid w:val="000F4EEE"/>
    <w:rsid w:val="000F51A3"/>
    <w:rsid w:val="000F522D"/>
    <w:rsid w:val="000F5FEA"/>
    <w:rsid w:val="000F7EEF"/>
    <w:rsid w:val="001006F9"/>
    <w:rsid w:val="00102403"/>
    <w:rsid w:val="0010440D"/>
    <w:rsid w:val="00107E0D"/>
    <w:rsid w:val="00111A8A"/>
    <w:rsid w:val="00112901"/>
    <w:rsid w:val="00113A48"/>
    <w:rsid w:val="00114AF5"/>
    <w:rsid w:val="001163B4"/>
    <w:rsid w:val="00116DB2"/>
    <w:rsid w:val="00117AD7"/>
    <w:rsid w:val="00117B07"/>
    <w:rsid w:val="001211FD"/>
    <w:rsid w:val="00123E90"/>
    <w:rsid w:val="001251B2"/>
    <w:rsid w:val="00127141"/>
    <w:rsid w:val="001274B7"/>
    <w:rsid w:val="001279DF"/>
    <w:rsid w:val="00127ECB"/>
    <w:rsid w:val="001304F1"/>
    <w:rsid w:val="00131502"/>
    <w:rsid w:val="00133628"/>
    <w:rsid w:val="001347EA"/>
    <w:rsid w:val="00134983"/>
    <w:rsid w:val="00134CD0"/>
    <w:rsid w:val="00134D5C"/>
    <w:rsid w:val="00135A5E"/>
    <w:rsid w:val="00140290"/>
    <w:rsid w:val="00140986"/>
    <w:rsid w:val="001412C2"/>
    <w:rsid w:val="00142B6C"/>
    <w:rsid w:val="001431BA"/>
    <w:rsid w:val="00144ECF"/>
    <w:rsid w:val="00146B20"/>
    <w:rsid w:val="001474A2"/>
    <w:rsid w:val="001516EC"/>
    <w:rsid w:val="001532CA"/>
    <w:rsid w:val="0015485B"/>
    <w:rsid w:val="00154A2A"/>
    <w:rsid w:val="00155655"/>
    <w:rsid w:val="0015595E"/>
    <w:rsid w:val="001578AF"/>
    <w:rsid w:val="00157AAE"/>
    <w:rsid w:val="00157EEC"/>
    <w:rsid w:val="00160474"/>
    <w:rsid w:val="00164A15"/>
    <w:rsid w:val="001653D7"/>
    <w:rsid w:val="00165A64"/>
    <w:rsid w:val="0016684E"/>
    <w:rsid w:val="00170E05"/>
    <w:rsid w:val="0017129A"/>
    <w:rsid w:val="0017131E"/>
    <w:rsid w:val="00171D1F"/>
    <w:rsid w:val="00172CE7"/>
    <w:rsid w:val="001752F5"/>
    <w:rsid w:val="0017579C"/>
    <w:rsid w:val="001759B6"/>
    <w:rsid w:val="001760ED"/>
    <w:rsid w:val="00176B41"/>
    <w:rsid w:val="00176B6A"/>
    <w:rsid w:val="00177A37"/>
    <w:rsid w:val="001812D5"/>
    <w:rsid w:val="001814AF"/>
    <w:rsid w:val="001820DA"/>
    <w:rsid w:val="00182C71"/>
    <w:rsid w:val="0018379B"/>
    <w:rsid w:val="001850C1"/>
    <w:rsid w:val="00185C56"/>
    <w:rsid w:val="00187491"/>
    <w:rsid w:val="0018774D"/>
    <w:rsid w:val="001904F4"/>
    <w:rsid w:val="00192672"/>
    <w:rsid w:val="001935C7"/>
    <w:rsid w:val="00193A82"/>
    <w:rsid w:val="001947D3"/>
    <w:rsid w:val="00195CAE"/>
    <w:rsid w:val="00196095"/>
    <w:rsid w:val="001A170B"/>
    <w:rsid w:val="001A27B2"/>
    <w:rsid w:val="001A29E5"/>
    <w:rsid w:val="001A4579"/>
    <w:rsid w:val="001A60E5"/>
    <w:rsid w:val="001A6875"/>
    <w:rsid w:val="001A7D92"/>
    <w:rsid w:val="001B0B88"/>
    <w:rsid w:val="001B0E76"/>
    <w:rsid w:val="001B11D3"/>
    <w:rsid w:val="001B2AF4"/>
    <w:rsid w:val="001B4528"/>
    <w:rsid w:val="001B465E"/>
    <w:rsid w:val="001B46D8"/>
    <w:rsid w:val="001B5C9B"/>
    <w:rsid w:val="001B6F01"/>
    <w:rsid w:val="001B7A6A"/>
    <w:rsid w:val="001C2389"/>
    <w:rsid w:val="001C23AE"/>
    <w:rsid w:val="001C3422"/>
    <w:rsid w:val="001C3494"/>
    <w:rsid w:val="001C497E"/>
    <w:rsid w:val="001C540E"/>
    <w:rsid w:val="001C5AA4"/>
    <w:rsid w:val="001C75C4"/>
    <w:rsid w:val="001C7D0C"/>
    <w:rsid w:val="001D04DE"/>
    <w:rsid w:val="001D2325"/>
    <w:rsid w:val="001D2D3E"/>
    <w:rsid w:val="001D3715"/>
    <w:rsid w:val="001D3FE8"/>
    <w:rsid w:val="001D4728"/>
    <w:rsid w:val="001D4DB5"/>
    <w:rsid w:val="001D4DD9"/>
    <w:rsid w:val="001D5540"/>
    <w:rsid w:val="001D6BD8"/>
    <w:rsid w:val="001E2C65"/>
    <w:rsid w:val="001E325F"/>
    <w:rsid w:val="001E3AE2"/>
    <w:rsid w:val="001E4138"/>
    <w:rsid w:val="001E43B6"/>
    <w:rsid w:val="001E7E85"/>
    <w:rsid w:val="001F0384"/>
    <w:rsid w:val="001F07D6"/>
    <w:rsid w:val="001F1CE2"/>
    <w:rsid w:val="001F1DEF"/>
    <w:rsid w:val="001F3121"/>
    <w:rsid w:val="001F32CC"/>
    <w:rsid w:val="001F3779"/>
    <w:rsid w:val="001F3DA7"/>
    <w:rsid w:val="001F4C57"/>
    <w:rsid w:val="001F4D43"/>
    <w:rsid w:val="001F4E22"/>
    <w:rsid w:val="001F5114"/>
    <w:rsid w:val="001F5549"/>
    <w:rsid w:val="001F645B"/>
    <w:rsid w:val="001F7AD9"/>
    <w:rsid w:val="001F7E5F"/>
    <w:rsid w:val="002008A6"/>
    <w:rsid w:val="00202F60"/>
    <w:rsid w:val="002044C5"/>
    <w:rsid w:val="0020523B"/>
    <w:rsid w:val="0020647E"/>
    <w:rsid w:val="002069A7"/>
    <w:rsid w:val="00207F39"/>
    <w:rsid w:val="00211634"/>
    <w:rsid w:val="002118A9"/>
    <w:rsid w:val="00211A46"/>
    <w:rsid w:val="00212402"/>
    <w:rsid w:val="002133B1"/>
    <w:rsid w:val="00213C8D"/>
    <w:rsid w:val="002149CD"/>
    <w:rsid w:val="00214B43"/>
    <w:rsid w:val="00215C4E"/>
    <w:rsid w:val="00215F4C"/>
    <w:rsid w:val="0021660F"/>
    <w:rsid w:val="0021726F"/>
    <w:rsid w:val="00217D31"/>
    <w:rsid w:val="0022001F"/>
    <w:rsid w:val="00220474"/>
    <w:rsid w:val="0022065F"/>
    <w:rsid w:val="00220D89"/>
    <w:rsid w:val="00220FD6"/>
    <w:rsid w:val="00221C6F"/>
    <w:rsid w:val="002224D0"/>
    <w:rsid w:val="00225921"/>
    <w:rsid w:val="00226808"/>
    <w:rsid w:val="00226AB5"/>
    <w:rsid w:val="002305EE"/>
    <w:rsid w:val="00230D15"/>
    <w:rsid w:val="0023105B"/>
    <w:rsid w:val="002317B9"/>
    <w:rsid w:val="00232046"/>
    <w:rsid w:val="00234908"/>
    <w:rsid w:val="00234909"/>
    <w:rsid w:val="00234A6D"/>
    <w:rsid w:val="0023538E"/>
    <w:rsid w:val="00236AF7"/>
    <w:rsid w:val="00244F07"/>
    <w:rsid w:val="00245479"/>
    <w:rsid w:val="00245B63"/>
    <w:rsid w:val="0024670A"/>
    <w:rsid w:val="00247420"/>
    <w:rsid w:val="0025130D"/>
    <w:rsid w:val="0025205E"/>
    <w:rsid w:val="00252C2C"/>
    <w:rsid w:val="00253394"/>
    <w:rsid w:val="00254713"/>
    <w:rsid w:val="00254730"/>
    <w:rsid w:val="00254863"/>
    <w:rsid w:val="00255704"/>
    <w:rsid w:val="0025681D"/>
    <w:rsid w:val="00256E22"/>
    <w:rsid w:val="002572A3"/>
    <w:rsid w:val="002572F9"/>
    <w:rsid w:val="00257B03"/>
    <w:rsid w:val="002601B2"/>
    <w:rsid w:val="00260779"/>
    <w:rsid w:val="00260A37"/>
    <w:rsid w:val="0026104A"/>
    <w:rsid w:val="00263BF7"/>
    <w:rsid w:val="00264F33"/>
    <w:rsid w:val="00265A9C"/>
    <w:rsid w:val="002660E4"/>
    <w:rsid w:val="00270D13"/>
    <w:rsid w:val="00271B56"/>
    <w:rsid w:val="00271BB1"/>
    <w:rsid w:val="00272067"/>
    <w:rsid w:val="00272AD4"/>
    <w:rsid w:val="00273DD7"/>
    <w:rsid w:val="00274F7D"/>
    <w:rsid w:val="00276D31"/>
    <w:rsid w:val="002810CE"/>
    <w:rsid w:val="00281C6B"/>
    <w:rsid w:val="00284369"/>
    <w:rsid w:val="002848AF"/>
    <w:rsid w:val="00285F81"/>
    <w:rsid w:val="00286456"/>
    <w:rsid w:val="002913B5"/>
    <w:rsid w:val="0029163E"/>
    <w:rsid w:val="002918B9"/>
    <w:rsid w:val="002919BB"/>
    <w:rsid w:val="0029380A"/>
    <w:rsid w:val="002948E6"/>
    <w:rsid w:val="0029511F"/>
    <w:rsid w:val="00297C90"/>
    <w:rsid w:val="00297CC0"/>
    <w:rsid w:val="00297FC2"/>
    <w:rsid w:val="002A1B7F"/>
    <w:rsid w:val="002A679F"/>
    <w:rsid w:val="002A6F86"/>
    <w:rsid w:val="002A7C18"/>
    <w:rsid w:val="002B0B02"/>
    <w:rsid w:val="002B3A8E"/>
    <w:rsid w:val="002B4268"/>
    <w:rsid w:val="002B485C"/>
    <w:rsid w:val="002B502C"/>
    <w:rsid w:val="002B6021"/>
    <w:rsid w:val="002C16AD"/>
    <w:rsid w:val="002C3310"/>
    <w:rsid w:val="002C3864"/>
    <w:rsid w:val="002C4206"/>
    <w:rsid w:val="002C4A3B"/>
    <w:rsid w:val="002C53D2"/>
    <w:rsid w:val="002C5558"/>
    <w:rsid w:val="002C6934"/>
    <w:rsid w:val="002D01D8"/>
    <w:rsid w:val="002D034E"/>
    <w:rsid w:val="002D0366"/>
    <w:rsid w:val="002D12DA"/>
    <w:rsid w:val="002D2ABB"/>
    <w:rsid w:val="002D2FAF"/>
    <w:rsid w:val="002D3B57"/>
    <w:rsid w:val="002D42EF"/>
    <w:rsid w:val="002D4394"/>
    <w:rsid w:val="002D4CDC"/>
    <w:rsid w:val="002D5155"/>
    <w:rsid w:val="002D58AF"/>
    <w:rsid w:val="002D6314"/>
    <w:rsid w:val="002D6ECA"/>
    <w:rsid w:val="002E13AE"/>
    <w:rsid w:val="002E1479"/>
    <w:rsid w:val="002E4C3A"/>
    <w:rsid w:val="002E5095"/>
    <w:rsid w:val="002E64B5"/>
    <w:rsid w:val="002E658A"/>
    <w:rsid w:val="002E77D7"/>
    <w:rsid w:val="002F1477"/>
    <w:rsid w:val="002F499D"/>
    <w:rsid w:val="002F4BE8"/>
    <w:rsid w:val="002F52B2"/>
    <w:rsid w:val="002F52E8"/>
    <w:rsid w:val="002F5D4B"/>
    <w:rsid w:val="002F6A05"/>
    <w:rsid w:val="002F74A5"/>
    <w:rsid w:val="002F76EA"/>
    <w:rsid w:val="00300F99"/>
    <w:rsid w:val="00301704"/>
    <w:rsid w:val="00301E6E"/>
    <w:rsid w:val="00301F73"/>
    <w:rsid w:val="00302443"/>
    <w:rsid w:val="00302F3A"/>
    <w:rsid w:val="00303AF0"/>
    <w:rsid w:val="003059BF"/>
    <w:rsid w:val="0030760F"/>
    <w:rsid w:val="00311060"/>
    <w:rsid w:val="0031233F"/>
    <w:rsid w:val="00313769"/>
    <w:rsid w:val="0031397E"/>
    <w:rsid w:val="00313B1C"/>
    <w:rsid w:val="00316DD5"/>
    <w:rsid w:val="00317E68"/>
    <w:rsid w:val="003206B2"/>
    <w:rsid w:val="00321EDD"/>
    <w:rsid w:val="003228D0"/>
    <w:rsid w:val="00322909"/>
    <w:rsid w:val="00322A7F"/>
    <w:rsid w:val="00322BAF"/>
    <w:rsid w:val="003238D4"/>
    <w:rsid w:val="00323DAB"/>
    <w:rsid w:val="00324A08"/>
    <w:rsid w:val="00325B73"/>
    <w:rsid w:val="00326AD9"/>
    <w:rsid w:val="00330020"/>
    <w:rsid w:val="0033004B"/>
    <w:rsid w:val="003318BA"/>
    <w:rsid w:val="003336C5"/>
    <w:rsid w:val="00333CEE"/>
    <w:rsid w:val="00334029"/>
    <w:rsid w:val="0033413C"/>
    <w:rsid w:val="0033530A"/>
    <w:rsid w:val="00335794"/>
    <w:rsid w:val="003377AE"/>
    <w:rsid w:val="00340F71"/>
    <w:rsid w:val="003412A4"/>
    <w:rsid w:val="00342CFD"/>
    <w:rsid w:val="00342E08"/>
    <w:rsid w:val="0034677A"/>
    <w:rsid w:val="003474DC"/>
    <w:rsid w:val="00350DAD"/>
    <w:rsid w:val="003515A7"/>
    <w:rsid w:val="00353A96"/>
    <w:rsid w:val="00353DCD"/>
    <w:rsid w:val="0035464D"/>
    <w:rsid w:val="00354E9D"/>
    <w:rsid w:val="00355867"/>
    <w:rsid w:val="0035630B"/>
    <w:rsid w:val="00356517"/>
    <w:rsid w:val="00360230"/>
    <w:rsid w:val="003608C0"/>
    <w:rsid w:val="0036110A"/>
    <w:rsid w:val="00362BED"/>
    <w:rsid w:val="00362D76"/>
    <w:rsid w:val="0036313C"/>
    <w:rsid w:val="0036482A"/>
    <w:rsid w:val="00364D47"/>
    <w:rsid w:val="00370C7C"/>
    <w:rsid w:val="00372010"/>
    <w:rsid w:val="00373123"/>
    <w:rsid w:val="00375B5C"/>
    <w:rsid w:val="00375E91"/>
    <w:rsid w:val="00375ECE"/>
    <w:rsid w:val="003766FF"/>
    <w:rsid w:val="00376D25"/>
    <w:rsid w:val="00376D5B"/>
    <w:rsid w:val="0038004F"/>
    <w:rsid w:val="0038066E"/>
    <w:rsid w:val="00381092"/>
    <w:rsid w:val="00382FC3"/>
    <w:rsid w:val="0038350A"/>
    <w:rsid w:val="00383638"/>
    <w:rsid w:val="00384BF8"/>
    <w:rsid w:val="00386903"/>
    <w:rsid w:val="00386BF4"/>
    <w:rsid w:val="003872DE"/>
    <w:rsid w:val="00387986"/>
    <w:rsid w:val="00391F59"/>
    <w:rsid w:val="0039362E"/>
    <w:rsid w:val="003956D3"/>
    <w:rsid w:val="003963C9"/>
    <w:rsid w:val="003A03DA"/>
    <w:rsid w:val="003A0667"/>
    <w:rsid w:val="003A15F9"/>
    <w:rsid w:val="003A181B"/>
    <w:rsid w:val="003A245C"/>
    <w:rsid w:val="003A31D7"/>
    <w:rsid w:val="003A4561"/>
    <w:rsid w:val="003B04D8"/>
    <w:rsid w:val="003B0A02"/>
    <w:rsid w:val="003B2C6B"/>
    <w:rsid w:val="003B7553"/>
    <w:rsid w:val="003C0FAA"/>
    <w:rsid w:val="003C10AD"/>
    <w:rsid w:val="003C1321"/>
    <w:rsid w:val="003C1525"/>
    <w:rsid w:val="003C25AA"/>
    <w:rsid w:val="003C27F2"/>
    <w:rsid w:val="003C2CF2"/>
    <w:rsid w:val="003C491E"/>
    <w:rsid w:val="003C6A2B"/>
    <w:rsid w:val="003D11AD"/>
    <w:rsid w:val="003D15C4"/>
    <w:rsid w:val="003D16E7"/>
    <w:rsid w:val="003D4399"/>
    <w:rsid w:val="003D4ADC"/>
    <w:rsid w:val="003D74F2"/>
    <w:rsid w:val="003D7CD2"/>
    <w:rsid w:val="003E07C6"/>
    <w:rsid w:val="003E49CF"/>
    <w:rsid w:val="003E49D1"/>
    <w:rsid w:val="003E528C"/>
    <w:rsid w:val="003E74E9"/>
    <w:rsid w:val="003E7BA7"/>
    <w:rsid w:val="003F1735"/>
    <w:rsid w:val="003F1B5B"/>
    <w:rsid w:val="003F44B6"/>
    <w:rsid w:val="003F546A"/>
    <w:rsid w:val="003F72F9"/>
    <w:rsid w:val="003F7B12"/>
    <w:rsid w:val="003F7F6B"/>
    <w:rsid w:val="00400E16"/>
    <w:rsid w:val="0040211E"/>
    <w:rsid w:val="00403053"/>
    <w:rsid w:val="004039BB"/>
    <w:rsid w:val="004046B5"/>
    <w:rsid w:val="004057F9"/>
    <w:rsid w:val="00405A1B"/>
    <w:rsid w:val="00406523"/>
    <w:rsid w:val="00415169"/>
    <w:rsid w:val="00416269"/>
    <w:rsid w:val="00420244"/>
    <w:rsid w:val="00420373"/>
    <w:rsid w:val="0042205A"/>
    <w:rsid w:val="004227D3"/>
    <w:rsid w:val="004235E9"/>
    <w:rsid w:val="0042387B"/>
    <w:rsid w:val="00424029"/>
    <w:rsid w:val="004257F4"/>
    <w:rsid w:val="00426B67"/>
    <w:rsid w:val="00426B70"/>
    <w:rsid w:val="00426F36"/>
    <w:rsid w:val="00427A78"/>
    <w:rsid w:val="00427FC4"/>
    <w:rsid w:val="00430DCB"/>
    <w:rsid w:val="004313DA"/>
    <w:rsid w:val="00432555"/>
    <w:rsid w:val="004346AD"/>
    <w:rsid w:val="004352D0"/>
    <w:rsid w:val="00435B42"/>
    <w:rsid w:val="00435EF6"/>
    <w:rsid w:val="00440EB8"/>
    <w:rsid w:val="00441EFF"/>
    <w:rsid w:val="00444A45"/>
    <w:rsid w:val="00445AAC"/>
    <w:rsid w:val="00446E38"/>
    <w:rsid w:val="004471BF"/>
    <w:rsid w:val="00447BA0"/>
    <w:rsid w:val="00450000"/>
    <w:rsid w:val="00450AB5"/>
    <w:rsid w:val="00452125"/>
    <w:rsid w:val="004529EC"/>
    <w:rsid w:val="0045316F"/>
    <w:rsid w:val="004549E3"/>
    <w:rsid w:val="0045583C"/>
    <w:rsid w:val="00457356"/>
    <w:rsid w:val="00460069"/>
    <w:rsid w:val="00461601"/>
    <w:rsid w:val="00462FB1"/>
    <w:rsid w:val="0046428A"/>
    <w:rsid w:val="00465A52"/>
    <w:rsid w:val="004662FD"/>
    <w:rsid w:val="0046740D"/>
    <w:rsid w:val="00467AB0"/>
    <w:rsid w:val="00472A86"/>
    <w:rsid w:val="004740ED"/>
    <w:rsid w:val="00474970"/>
    <w:rsid w:val="00474B57"/>
    <w:rsid w:val="00474F3C"/>
    <w:rsid w:val="0047536C"/>
    <w:rsid w:val="004754EC"/>
    <w:rsid w:val="00475693"/>
    <w:rsid w:val="00475A35"/>
    <w:rsid w:val="00475C3E"/>
    <w:rsid w:val="00482936"/>
    <w:rsid w:val="004831E4"/>
    <w:rsid w:val="00484455"/>
    <w:rsid w:val="0048488F"/>
    <w:rsid w:val="004850DA"/>
    <w:rsid w:val="00485F7D"/>
    <w:rsid w:val="00486F04"/>
    <w:rsid w:val="00487108"/>
    <w:rsid w:val="004923A1"/>
    <w:rsid w:val="0049478A"/>
    <w:rsid w:val="00494B33"/>
    <w:rsid w:val="00495720"/>
    <w:rsid w:val="00497F17"/>
    <w:rsid w:val="004A05B7"/>
    <w:rsid w:val="004A1810"/>
    <w:rsid w:val="004A1E1C"/>
    <w:rsid w:val="004A30A9"/>
    <w:rsid w:val="004A3AF0"/>
    <w:rsid w:val="004A527A"/>
    <w:rsid w:val="004A61AC"/>
    <w:rsid w:val="004A63D0"/>
    <w:rsid w:val="004A6411"/>
    <w:rsid w:val="004A6C12"/>
    <w:rsid w:val="004A7488"/>
    <w:rsid w:val="004A7617"/>
    <w:rsid w:val="004B06D3"/>
    <w:rsid w:val="004B0A90"/>
    <w:rsid w:val="004B17BD"/>
    <w:rsid w:val="004B1DFB"/>
    <w:rsid w:val="004B36A8"/>
    <w:rsid w:val="004B38E3"/>
    <w:rsid w:val="004B3D16"/>
    <w:rsid w:val="004B4853"/>
    <w:rsid w:val="004B4DF7"/>
    <w:rsid w:val="004B710D"/>
    <w:rsid w:val="004C0934"/>
    <w:rsid w:val="004C1125"/>
    <w:rsid w:val="004C3353"/>
    <w:rsid w:val="004C4CFD"/>
    <w:rsid w:val="004C771A"/>
    <w:rsid w:val="004C7E7C"/>
    <w:rsid w:val="004C7F32"/>
    <w:rsid w:val="004D1502"/>
    <w:rsid w:val="004D2010"/>
    <w:rsid w:val="004D3B94"/>
    <w:rsid w:val="004D747E"/>
    <w:rsid w:val="004E1FD6"/>
    <w:rsid w:val="004E20DF"/>
    <w:rsid w:val="004E2431"/>
    <w:rsid w:val="004E426E"/>
    <w:rsid w:val="004E43C3"/>
    <w:rsid w:val="004E4A0B"/>
    <w:rsid w:val="004E549D"/>
    <w:rsid w:val="004E6BBF"/>
    <w:rsid w:val="004F0D89"/>
    <w:rsid w:val="004F11E0"/>
    <w:rsid w:val="004F15CA"/>
    <w:rsid w:val="004F1753"/>
    <w:rsid w:val="004F19F0"/>
    <w:rsid w:val="004F1A67"/>
    <w:rsid w:val="004F2F8D"/>
    <w:rsid w:val="004F409A"/>
    <w:rsid w:val="004F475E"/>
    <w:rsid w:val="004F497F"/>
    <w:rsid w:val="004F5743"/>
    <w:rsid w:val="005002EE"/>
    <w:rsid w:val="005006FC"/>
    <w:rsid w:val="00500EA1"/>
    <w:rsid w:val="005016DF"/>
    <w:rsid w:val="00502ECF"/>
    <w:rsid w:val="00503A7C"/>
    <w:rsid w:val="005042C2"/>
    <w:rsid w:val="005075EB"/>
    <w:rsid w:val="0051035C"/>
    <w:rsid w:val="00511E4E"/>
    <w:rsid w:val="00511F59"/>
    <w:rsid w:val="0051375C"/>
    <w:rsid w:val="00515424"/>
    <w:rsid w:val="00515450"/>
    <w:rsid w:val="00515E21"/>
    <w:rsid w:val="00516890"/>
    <w:rsid w:val="0051780B"/>
    <w:rsid w:val="00517D57"/>
    <w:rsid w:val="00517F06"/>
    <w:rsid w:val="00522420"/>
    <w:rsid w:val="005228D8"/>
    <w:rsid w:val="0052328D"/>
    <w:rsid w:val="005233CA"/>
    <w:rsid w:val="00523681"/>
    <w:rsid w:val="005242D4"/>
    <w:rsid w:val="0052459C"/>
    <w:rsid w:val="00525D3F"/>
    <w:rsid w:val="00525E5D"/>
    <w:rsid w:val="00527AEB"/>
    <w:rsid w:val="00530216"/>
    <w:rsid w:val="00531089"/>
    <w:rsid w:val="00531975"/>
    <w:rsid w:val="00533229"/>
    <w:rsid w:val="00533EFE"/>
    <w:rsid w:val="00535085"/>
    <w:rsid w:val="005366BE"/>
    <w:rsid w:val="0054029E"/>
    <w:rsid w:val="00541057"/>
    <w:rsid w:val="00541B3F"/>
    <w:rsid w:val="0054307F"/>
    <w:rsid w:val="00544234"/>
    <w:rsid w:val="005443FB"/>
    <w:rsid w:val="00547FB3"/>
    <w:rsid w:val="00550511"/>
    <w:rsid w:val="00550FFD"/>
    <w:rsid w:val="00551C6C"/>
    <w:rsid w:val="00551DD9"/>
    <w:rsid w:val="00552066"/>
    <w:rsid w:val="00552B70"/>
    <w:rsid w:val="00555A41"/>
    <w:rsid w:val="005566FA"/>
    <w:rsid w:val="00556C30"/>
    <w:rsid w:val="00557520"/>
    <w:rsid w:val="00557928"/>
    <w:rsid w:val="00557A9C"/>
    <w:rsid w:val="00557FDF"/>
    <w:rsid w:val="00560703"/>
    <w:rsid w:val="00560928"/>
    <w:rsid w:val="00560B65"/>
    <w:rsid w:val="00561E11"/>
    <w:rsid w:val="00562B14"/>
    <w:rsid w:val="0056453C"/>
    <w:rsid w:val="00564DE1"/>
    <w:rsid w:val="00567900"/>
    <w:rsid w:val="00570772"/>
    <w:rsid w:val="005715AB"/>
    <w:rsid w:val="00571897"/>
    <w:rsid w:val="00572666"/>
    <w:rsid w:val="0057345A"/>
    <w:rsid w:val="00573666"/>
    <w:rsid w:val="00573D8A"/>
    <w:rsid w:val="005742E7"/>
    <w:rsid w:val="005759A1"/>
    <w:rsid w:val="00575A6B"/>
    <w:rsid w:val="00576228"/>
    <w:rsid w:val="0057645D"/>
    <w:rsid w:val="00576590"/>
    <w:rsid w:val="00580292"/>
    <w:rsid w:val="005804FE"/>
    <w:rsid w:val="005820EF"/>
    <w:rsid w:val="00582C48"/>
    <w:rsid w:val="00583993"/>
    <w:rsid w:val="005862DD"/>
    <w:rsid w:val="005908EE"/>
    <w:rsid w:val="00591CBE"/>
    <w:rsid w:val="00591FF4"/>
    <w:rsid w:val="00594BF8"/>
    <w:rsid w:val="0059577A"/>
    <w:rsid w:val="00596396"/>
    <w:rsid w:val="00596A60"/>
    <w:rsid w:val="00596AC9"/>
    <w:rsid w:val="00597BA0"/>
    <w:rsid w:val="005A1987"/>
    <w:rsid w:val="005A2A34"/>
    <w:rsid w:val="005A2C10"/>
    <w:rsid w:val="005A3AFD"/>
    <w:rsid w:val="005A4847"/>
    <w:rsid w:val="005B17E3"/>
    <w:rsid w:val="005B53E8"/>
    <w:rsid w:val="005B5CAB"/>
    <w:rsid w:val="005B68F9"/>
    <w:rsid w:val="005B6913"/>
    <w:rsid w:val="005B75AC"/>
    <w:rsid w:val="005C111A"/>
    <w:rsid w:val="005C11EB"/>
    <w:rsid w:val="005C4885"/>
    <w:rsid w:val="005C4AE2"/>
    <w:rsid w:val="005C4E1B"/>
    <w:rsid w:val="005C5204"/>
    <w:rsid w:val="005C5BF3"/>
    <w:rsid w:val="005C66BA"/>
    <w:rsid w:val="005C741D"/>
    <w:rsid w:val="005D112F"/>
    <w:rsid w:val="005D1CAA"/>
    <w:rsid w:val="005D249E"/>
    <w:rsid w:val="005D4AD0"/>
    <w:rsid w:val="005D4B13"/>
    <w:rsid w:val="005D4D8F"/>
    <w:rsid w:val="005D50E7"/>
    <w:rsid w:val="005D5407"/>
    <w:rsid w:val="005D6112"/>
    <w:rsid w:val="005D7C8D"/>
    <w:rsid w:val="005E1640"/>
    <w:rsid w:val="005E1DCE"/>
    <w:rsid w:val="005E2084"/>
    <w:rsid w:val="005E2EE3"/>
    <w:rsid w:val="005E4009"/>
    <w:rsid w:val="005E5102"/>
    <w:rsid w:val="005E74EB"/>
    <w:rsid w:val="005F0460"/>
    <w:rsid w:val="005F1897"/>
    <w:rsid w:val="005F2182"/>
    <w:rsid w:val="005F41B2"/>
    <w:rsid w:val="005F5B55"/>
    <w:rsid w:val="005F6FD1"/>
    <w:rsid w:val="0060001F"/>
    <w:rsid w:val="006019A2"/>
    <w:rsid w:val="006023EF"/>
    <w:rsid w:val="006026FD"/>
    <w:rsid w:val="00603E83"/>
    <w:rsid w:val="00604F66"/>
    <w:rsid w:val="00605D4E"/>
    <w:rsid w:val="00605EFF"/>
    <w:rsid w:val="006063E4"/>
    <w:rsid w:val="0060697C"/>
    <w:rsid w:val="006075D8"/>
    <w:rsid w:val="00610553"/>
    <w:rsid w:val="0061124F"/>
    <w:rsid w:val="006116A9"/>
    <w:rsid w:val="00611B0A"/>
    <w:rsid w:val="00613EC9"/>
    <w:rsid w:val="00614913"/>
    <w:rsid w:val="00615537"/>
    <w:rsid w:val="006176BC"/>
    <w:rsid w:val="00620C81"/>
    <w:rsid w:val="00621052"/>
    <w:rsid w:val="006213C2"/>
    <w:rsid w:val="006224E1"/>
    <w:rsid w:val="00622682"/>
    <w:rsid w:val="00623AB6"/>
    <w:rsid w:val="00623C28"/>
    <w:rsid w:val="00624702"/>
    <w:rsid w:val="00624C2A"/>
    <w:rsid w:val="00624D51"/>
    <w:rsid w:val="00624E1C"/>
    <w:rsid w:val="00625F43"/>
    <w:rsid w:val="006278F8"/>
    <w:rsid w:val="00631DBD"/>
    <w:rsid w:val="00631DD2"/>
    <w:rsid w:val="006322BA"/>
    <w:rsid w:val="0063256F"/>
    <w:rsid w:val="00633531"/>
    <w:rsid w:val="006365D2"/>
    <w:rsid w:val="00637418"/>
    <w:rsid w:val="0064152F"/>
    <w:rsid w:val="00642376"/>
    <w:rsid w:val="0064273B"/>
    <w:rsid w:val="006430BC"/>
    <w:rsid w:val="0064314A"/>
    <w:rsid w:val="00643FA7"/>
    <w:rsid w:val="00644523"/>
    <w:rsid w:val="006445E0"/>
    <w:rsid w:val="0064781D"/>
    <w:rsid w:val="00653AB4"/>
    <w:rsid w:val="00653CAA"/>
    <w:rsid w:val="00654A71"/>
    <w:rsid w:val="00654EF8"/>
    <w:rsid w:val="00656A02"/>
    <w:rsid w:val="00656B84"/>
    <w:rsid w:val="00656BE4"/>
    <w:rsid w:val="00657708"/>
    <w:rsid w:val="00660A03"/>
    <w:rsid w:val="00662424"/>
    <w:rsid w:val="0066247B"/>
    <w:rsid w:val="00662559"/>
    <w:rsid w:val="00664560"/>
    <w:rsid w:val="00664B0D"/>
    <w:rsid w:val="006659F9"/>
    <w:rsid w:val="00665C13"/>
    <w:rsid w:val="00666EB0"/>
    <w:rsid w:val="00666F04"/>
    <w:rsid w:val="006677F7"/>
    <w:rsid w:val="00670635"/>
    <w:rsid w:val="00671059"/>
    <w:rsid w:val="006717C2"/>
    <w:rsid w:val="00672187"/>
    <w:rsid w:val="006724AA"/>
    <w:rsid w:val="006805D8"/>
    <w:rsid w:val="00682214"/>
    <w:rsid w:val="0068323D"/>
    <w:rsid w:val="00683E00"/>
    <w:rsid w:val="00684C45"/>
    <w:rsid w:val="006851E1"/>
    <w:rsid w:val="00685C72"/>
    <w:rsid w:val="00687C6C"/>
    <w:rsid w:val="006915C7"/>
    <w:rsid w:val="00692603"/>
    <w:rsid w:val="00694A7B"/>
    <w:rsid w:val="00694F06"/>
    <w:rsid w:val="00695027"/>
    <w:rsid w:val="006A1B63"/>
    <w:rsid w:val="006A1C88"/>
    <w:rsid w:val="006A231C"/>
    <w:rsid w:val="006A2468"/>
    <w:rsid w:val="006A2F23"/>
    <w:rsid w:val="006A35B4"/>
    <w:rsid w:val="006A42CC"/>
    <w:rsid w:val="006A66BF"/>
    <w:rsid w:val="006A7600"/>
    <w:rsid w:val="006B176F"/>
    <w:rsid w:val="006B1EDA"/>
    <w:rsid w:val="006B2FCE"/>
    <w:rsid w:val="006B40FD"/>
    <w:rsid w:val="006B492B"/>
    <w:rsid w:val="006B5619"/>
    <w:rsid w:val="006B5DA7"/>
    <w:rsid w:val="006B69F3"/>
    <w:rsid w:val="006C1A1A"/>
    <w:rsid w:val="006C2EC4"/>
    <w:rsid w:val="006C4D1E"/>
    <w:rsid w:val="006C5D9A"/>
    <w:rsid w:val="006C697E"/>
    <w:rsid w:val="006C7062"/>
    <w:rsid w:val="006D2DAD"/>
    <w:rsid w:val="006E00FC"/>
    <w:rsid w:val="006E0666"/>
    <w:rsid w:val="006E0D2D"/>
    <w:rsid w:val="006E0D37"/>
    <w:rsid w:val="006E112B"/>
    <w:rsid w:val="006E148E"/>
    <w:rsid w:val="006E2849"/>
    <w:rsid w:val="006E2994"/>
    <w:rsid w:val="006E3016"/>
    <w:rsid w:val="006E474E"/>
    <w:rsid w:val="006F0634"/>
    <w:rsid w:val="006F3B33"/>
    <w:rsid w:val="006F3D8F"/>
    <w:rsid w:val="006F4052"/>
    <w:rsid w:val="006F4779"/>
    <w:rsid w:val="006F4FC8"/>
    <w:rsid w:val="0070226B"/>
    <w:rsid w:val="00703B7F"/>
    <w:rsid w:val="00703BE3"/>
    <w:rsid w:val="007045B6"/>
    <w:rsid w:val="00704F7E"/>
    <w:rsid w:val="00705AF5"/>
    <w:rsid w:val="0070604C"/>
    <w:rsid w:val="007065CB"/>
    <w:rsid w:val="0071412B"/>
    <w:rsid w:val="00716A8E"/>
    <w:rsid w:val="00716E4E"/>
    <w:rsid w:val="00717636"/>
    <w:rsid w:val="00717990"/>
    <w:rsid w:val="007217F2"/>
    <w:rsid w:val="007218B0"/>
    <w:rsid w:val="0072238D"/>
    <w:rsid w:val="00723A17"/>
    <w:rsid w:val="007248D7"/>
    <w:rsid w:val="00725380"/>
    <w:rsid w:val="00726D2C"/>
    <w:rsid w:val="00726E1F"/>
    <w:rsid w:val="007272C8"/>
    <w:rsid w:val="007319BC"/>
    <w:rsid w:val="00732ECE"/>
    <w:rsid w:val="0073336F"/>
    <w:rsid w:val="00733B1E"/>
    <w:rsid w:val="00733B29"/>
    <w:rsid w:val="007350B6"/>
    <w:rsid w:val="00735250"/>
    <w:rsid w:val="00735EDE"/>
    <w:rsid w:val="00736674"/>
    <w:rsid w:val="007369BF"/>
    <w:rsid w:val="007435A6"/>
    <w:rsid w:val="0074412B"/>
    <w:rsid w:val="0074610C"/>
    <w:rsid w:val="00746F55"/>
    <w:rsid w:val="0075033B"/>
    <w:rsid w:val="00750AA0"/>
    <w:rsid w:val="00750C3E"/>
    <w:rsid w:val="00752072"/>
    <w:rsid w:val="00753AD1"/>
    <w:rsid w:val="00755A07"/>
    <w:rsid w:val="00755C38"/>
    <w:rsid w:val="00756172"/>
    <w:rsid w:val="00756712"/>
    <w:rsid w:val="007573BF"/>
    <w:rsid w:val="0076001B"/>
    <w:rsid w:val="007609A4"/>
    <w:rsid w:val="00765446"/>
    <w:rsid w:val="00765660"/>
    <w:rsid w:val="007663B9"/>
    <w:rsid w:val="0076763E"/>
    <w:rsid w:val="0076799E"/>
    <w:rsid w:val="007708D8"/>
    <w:rsid w:val="007725C8"/>
    <w:rsid w:val="00772DEE"/>
    <w:rsid w:val="00773835"/>
    <w:rsid w:val="00773DF6"/>
    <w:rsid w:val="0077406F"/>
    <w:rsid w:val="00774B36"/>
    <w:rsid w:val="00775222"/>
    <w:rsid w:val="00775798"/>
    <w:rsid w:val="00775B97"/>
    <w:rsid w:val="00776BBC"/>
    <w:rsid w:val="00777A0D"/>
    <w:rsid w:val="007829D0"/>
    <w:rsid w:val="00784B63"/>
    <w:rsid w:val="007856F9"/>
    <w:rsid w:val="00786D28"/>
    <w:rsid w:val="007870E3"/>
    <w:rsid w:val="00787A5F"/>
    <w:rsid w:val="0079048B"/>
    <w:rsid w:val="007907D3"/>
    <w:rsid w:val="007911BB"/>
    <w:rsid w:val="00793DF2"/>
    <w:rsid w:val="0079434F"/>
    <w:rsid w:val="00794B9B"/>
    <w:rsid w:val="00794EFE"/>
    <w:rsid w:val="00796DD1"/>
    <w:rsid w:val="007972D1"/>
    <w:rsid w:val="007A14DD"/>
    <w:rsid w:val="007A1F8D"/>
    <w:rsid w:val="007A4BC9"/>
    <w:rsid w:val="007A55F0"/>
    <w:rsid w:val="007A685C"/>
    <w:rsid w:val="007A691F"/>
    <w:rsid w:val="007B1096"/>
    <w:rsid w:val="007B274C"/>
    <w:rsid w:val="007B3E6E"/>
    <w:rsid w:val="007B4A6A"/>
    <w:rsid w:val="007B64E8"/>
    <w:rsid w:val="007B688C"/>
    <w:rsid w:val="007B6BE0"/>
    <w:rsid w:val="007B6CE8"/>
    <w:rsid w:val="007B70D7"/>
    <w:rsid w:val="007C0A27"/>
    <w:rsid w:val="007C1FED"/>
    <w:rsid w:val="007C5B4C"/>
    <w:rsid w:val="007C78FE"/>
    <w:rsid w:val="007C7AC6"/>
    <w:rsid w:val="007D107A"/>
    <w:rsid w:val="007D15A7"/>
    <w:rsid w:val="007D3425"/>
    <w:rsid w:val="007D4C73"/>
    <w:rsid w:val="007D59FF"/>
    <w:rsid w:val="007E138A"/>
    <w:rsid w:val="007E2BAF"/>
    <w:rsid w:val="007E364D"/>
    <w:rsid w:val="007E3C50"/>
    <w:rsid w:val="007E49A8"/>
    <w:rsid w:val="007E61B0"/>
    <w:rsid w:val="007E69A5"/>
    <w:rsid w:val="007E7DDE"/>
    <w:rsid w:val="007F0000"/>
    <w:rsid w:val="007F0063"/>
    <w:rsid w:val="007F27B2"/>
    <w:rsid w:val="007F2D7E"/>
    <w:rsid w:val="007F4710"/>
    <w:rsid w:val="007F62B1"/>
    <w:rsid w:val="007F7913"/>
    <w:rsid w:val="00800741"/>
    <w:rsid w:val="0080127B"/>
    <w:rsid w:val="00803D7A"/>
    <w:rsid w:val="008055AF"/>
    <w:rsid w:val="008055F5"/>
    <w:rsid w:val="008078DA"/>
    <w:rsid w:val="00810A07"/>
    <w:rsid w:val="00811292"/>
    <w:rsid w:val="008115E0"/>
    <w:rsid w:val="008128E3"/>
    <w:rsid w:val="00812D82"/>
    <w:rsid w:val="00813049"/>
    <w:rsid w:val="0081306E"/>
    <w:rsid w:val="00813BE4"/>
    <w:rsid w:val="00814C67"/>
    <w:rsid w:val="00815796"/>
    <w:rsid w:val="008160B3"/>
    <w:rsid w:val="00821801"/>
    <w:rsid w:val="0082309F"/>
    <w:rsid w:val="008253C0"/>
    <w:rsid w:val="00825A3D"/>
    <w:rsid w:val="0082678D"/>
    <w:rsid w:val="00830B6E"/>
    <w:rsid w:val="008332F8"/>
    <w:rsid w:val="00833A37"/>
    <w:rsid w:val="0083420E"/>
    <w:rsid w:val="0083475A"/>
    <w:rsid w:val="0083486F"/>
    <w:rsid w:val="008356B3"/>
    <w:rsid w:val="0083570B"/>
    <w:rsid w:val="00835811"/>
    <w:rsid w:val="00836241"/>
    <w:rsid w:val="008364A5"/>
    <w:rsid w:val="008366BC"/>
    <w:rsid w:val="00842E69"/>
    <w:rsid w:val="00843270"/>
    <w:rsid w:val="00844756"/>
    <w:rsid w:val="008448FA"/>
    <w:rsid w:val="00845E7C"/>
    <w:rsid w:val="008470EA"/>
    <w:rsid w:val="008479E8"/>
    <w:rsid w:val="0085073E"/>
    <w:rsid w:val="00850A24"/>
    <w:rsid w:val="008511AF"/>
    <w:rsid w:val="00851C82"/>
    <w:rsid w:val="0085322C"/>
    <w:rsid w:val="00854096"/>
    <w:rsid w:val="00854EED"/>
    <w:rsid w:val="008564F5"/>
    <w:rsid w:val="00856B8D"/>
    <w:rsid w:val="008573E2"/>
    <w:rsid w:val="008579EB"/>
    <w:rsid w:val="00861016"/>
    <w:rsid w:val="00862F03"/>
    <w:rsid w:val="00863648"/>
    <w:rsid w:val="00863797"/>
    <w:rsid w:val="00863980"/>
    <w:rsid w:val="00863DF4"/>
    <w:rsid w:val="0086774F"/>
    <w:rsid w:val="00871F6B"/>
    <w:rsid w:val="00871FF4"/>
    <w:rsid w:val="008722A6"/>
    <w:rsid w:val="008722B9"/>
    <w:rsid w:val="00872486"/>
    <w:rsid w:val="008754F2"/>
    <w:rsid w:val="008755A5"/>
    <w:rsid w:val="0087575C"/>
    <w:rsid w:val="008760E7"/>
    <w:rsid w:val="00876263"/>
    <w:rsid w:val="00877A11"/>
    <w:rsid w:val="008801BE"/>
    <w:rsid w:val="00880C8B"/>
    <w:rsid w:val="0088172A"/>
    <w:rsid w:val="0088230D"/>
    <w:rsid w:val="00883079"/>
    <w:rsid w:val="00883B90"/>
    <w:rsid w:val="00884ABC"/>
    <w:rsid w:val="0088548B"/>
    <w:rsid w:val="00887215"/>
    <w:rsid w:val="0089094B"/>
    <w:rsid w:val="00891CA6"/>
    <w:rsid w:val="00891DF5"/>
    <w:rsid w:val="0089385E"/>
    <w:rsid w:val="008946F0"/>
    <w:rsid w:val="008949E0"/>
    <w:rsid w:val="0089753B"/>
    <w:rsid w:val="00897ED1"/>
    <w:rsid w:val="008A1C67"/>
    <w:rsid w:val="008A2774"/>
    <w:rsid w:val="008A4825"/>
    <w:rsid w:val="008A48FD"/>
    <w:rsid w:val="008A7313"/>
    <w:rsid w:val="008A7569"/>
    <w:rsid w:val="008A78AE"/>
    <w:rsid w:val="008B1053"/>
    <w:rsid w:val="008B16FC"/>
    <w:rsid w:val="008B389C"/>
    <w:rsid w:val="008B7ACF"/>
    <w:rsid w:val="008B7E21"/>
    <w:rsid w:val="008C05EF"/>
    <w:rsid w:val="008C28B0"/>
    <w:rsid w:val="008C3B32"/>
    <w:rsid w:val="008C5060"/>
    <w:rsid w:val="008C6C34"/>
    <w:rsid w:val="008C73B2"/>
    <w:rsid w:val="008C7567"/>
    <w:rsid w:val="008D0640"/>
    <w:rsid w:val="008D06F5"/>
    <w:rsid w:val="008D2F7E"/>
    <w:rsid w:val="008D4EC8"/>
    <w:rsid w:val="008D5121"/>
    <w:rsid w:val="008D58DF"/>
    <w:rsid w:val="008D61B1"/>
    <w:rsid w:val="008D6AF9"/>
    <w:rsid w:val="008D6FC7"/>
    <w:rsid w:val="008D7D5A"/>
    <w:rsid w:val="008E01D1"/>
    <w:rsid w:val="008E08AC"/>
    <w:rsid w:val="008E18FE"/>
    <w:rsid w:val="008E1C69"/>
    <w:rsid w:val="008E28EE"/>
    <w:rsid w:val="008E3656"/>
    <w:rsid w:val="008E430A"/>
    <w:rsid w:val="008E51EC"/>
    <w:rsid w:val="008E5A82"/>
    <w:rsid w:val="008E661C"/>
    <w:rsid w:val="008E6F16"/>
    <w:rsid w:val="008E6FA5"/>
    <w:rsid w:val="008E7617"/>
    <w:rsid w:val="008E7BC2"/>
    <w:rsid w:val="008E7C44"/>
    <w:rsid w:val="008E7CB5"/>
    <w:rsid w:val="008F111E"/>
    <w:rsid w:val="008F2F39"/>
    <w:rsid w:val="008F31DA"/>
    <w:rsid w:val="008F446B"/>
    <w:rsid w:val="008F4965"/>
    <w:rsid w:val="008F535F"/>
    <w:rsid w:val="008F6545"/>
    <w:rsid w:val="008F68B4"/>
    <w:rsid w:val="008F70E1"/>
    <w:rsid w:val="008F76D3"/>
    <w:rsid w:val="009010B9"/>
    <w:rsid w:val="0090209C"/>
    <w:rsid w:val="009057B3"/>
    <w:rsid w:val="00906FD7"/>
    <w:rsid w:val="00907857"/>
    <w:rsid w:val="00907B5B"/>
    <w:rsid w:val="009101D9"/>
    <w:rsid w:val="00912179"/>
    <w:rsid w:val="0091547D"/>
    <w:rsid w:val="009178B1"/>
    <w:rsid w:val="00920741"/>
    <w:rsid w:val="009213FB"/>
    <w:rsid w:val="00922452"/>
    <w:rsid w:val="0092347E"/>
    <w:rsid w:val="00923E6A"/>
    <w:rsid w:val="0092435F"/>
    <w:rsid w:val="009252A6"/>
    <w:rsid w:val="00925E76"/>
    <w:rsid w:val="0092632F"/>
    <w:rsid w:val="0092690C"/>
    <w:rsid w:val="00926963"/>
    <w:rsid w:val="00930D21"/>
    <w:rsid w:val="00931FA7"/>
    <w:rsid w:val="00932712"/>
    <w:rsid w:val="00932B22"/>
    <w:rsid w:val="009339AE"/>
    <w:rsid w:val="0093562F"/>
    <w:rsid w:val="009362AB"/>
    <w:rsid w:val="009370A4"/>
    <w:rsid w:val="00937668"/>
    <w:rsid w:val="00937ADB"/>
    <w:rsid w:val="00937BF6"/>
    <w:rsid w:val="00940A01"/>
    <w:rsid w:val="00941613"/>
    <w:rsid w:val="009432DE"/>
    <w:rsid w:val="009475F8"/>
    <w:rsid w:val="00947BA0"/>
    <w:rsid w:val="00947CAB"/>
    <w:rsid w:val="00950F33"/>
    <w:rsid w:val="009510C2"/>
    <w:rsid w:val="00953C36"/>
    <w:rsid w:val="00955CB7"/>
    <w:rsid w:val="00960B61"/>
    <w:rsid w:val="0096180F"/>
    <w:rsid w:val="00962013"/>
    <w:rsid w:val="009629E1"/>
    <w:rsid w:val="00963612"/>
    <w:rsid w:val="009640D7"/>
    <w:rsid w:val="00964205"/>
    <w:rsid w:val="00964BAD"/>
    <w:rsid w:val="009651F2"/>
    <w:rsid w:val="009656F5"/>
    <w:rsid w:val="00965883"/>
    <w:rsid w:val="0096682E"/>
    <w:rsid w:val="00966945"/>
    <w:rsid w:val="009679C3"/>
    <w:rsid w:val="00970157"/>
    <w:rsid w:val="00971E5D"/>
    <w:rsid w:val="00972913"/>
    <w:rsid w:val="00973648"/>
    <w:rsid w:val="00975580"/>
    <w:rsid w:val="009774BE"/>
    <w:rsid w:val="0098051B"/>
    <w:rsid w:val="0098068C"/>
    <w:rsid w:val="00981CDA"/>
    <w:rsid w:val="00982719"/>
    <w:rsid w:val="0098430E"/>
    <w:rsid w:val="00984784"/>
    <w:rsid w:val="00984D6C"/>
    <w:rsid w:val="00985BA1"/>
    <w:rsid w:val="00986981"/>
    <w:rsid w:val="00987666"/>
    <w:rsid w:val="009876C0"/>
    <w:rsid w:val="00987D8B"/>
    <w:rsid w:val="0099011B"/>
    <w:rsid w:val="00990786"/>
    <w:rsid w:val="0099316E"/>
    <w:rsid w:val="009931C4"/>
    <w:rsid w:val="0099451B"/>
    <w:rsid w:val="009951D9"/>
    <w:rsid w:val="009955E2"/>
    <w:rsid w:val="009960D5"/>
    <w:rsid w:val="009A07BB"/>
    <w:rsid w:val="009A1FFF"/>
    <w:rsid w:val="009A2072"/>
    <w:rsid w:val="009A2C23"/>
    <w:rsid w:val="009A2E32"/>
    <w:rsid w:val="009A2E50"/>
    <w:rsid w:val="009A3144"/>
    <w:rsid w:val="009A4E32"/>
    <w:rsid w:val="009A562B"/>
    <w:rsid w:val="009A6BAE"/>
    <w:rsid w:val="009A6FD4"/>
    <w:rsid w:val="009B06FE"/>
    <w:rsid w:val="009B0E20"/>
    <w:rsid w:val="009B4075"/>
    <w:rsid w:val="009B40B0"/>
    <w:rsid w:val="009B4153"/>
    <w:rsid w:val="009B4B9A"/>
    <w:rsid w:val="009B53BA"/>
    <w:rsid w:val="009B5CD6"/>
    <w:rsid w:val="009B74D1"/>
    <w:rsid w:val="009B7DF8"/>
    <w:rsid w:val="009C06DB"/>
    <w:rsid w:val="009C1A04"/>
    <w:rsid w:val="009C4F4F"/>
    <w:rsid w:val="009C61C7"/>
    <w:rsid w:val="009C65C2"/>
    <w:rsid w:val="009C6701"/>
    <w:rsid w:val="009C675C"/>
    <w:rsid w:val="009C6CEA"/>
    <w:rsid w:val="009D13F4"/>
    <w:rsid w:val="009D1F79"/>
    <w:rsid w:val="009D347A"/>
    <w:rsid w:val="009D4A5B"/>
    <w:rsid w:val="009D7ECC"/>
    <w:rsid w:val="009E4445"/>
    <w:rsid w:val="009E463F"/>
    <w:rsid w:val="009E5300"/>
    <w:rsid w:val="009E5C10"/>
    <w:rsid w:val="009F14A9"/>
    <w:rsid w:val="009F1559"/>
    <w:rsid w:val="009F19A9"/>
    <w:rsid w:val="009F1B04"/>
    <w:rsid w:val="009F29A7"/>
    <w:rsid w:val="009F2C04"/>
    <w:rsid w:val="009F339F"/>
    <w:rsid w:val="009F5ECD"/>
    <w:rsid w:val="009F6F4A"/>
    <w:rsid w:val="009F7103"/>
    <w:rsid w:val="009F7CE6"/>
    <w:rsid w:val="00A016B1"/>
    <w:rsid w:val="00A0273A"/>
    <w:rsid w:val="00A02C99"/>
    <w:rsid w:val="00A03A22"/>
    <w:rsid w:val="00A0447E"/>
    <w:rsid w:val="00A057A5"/>
    <w:rsid w:val="00A05998"/>
    <w:rsid w:val="00A0707F"/>
    <w:rsid w:val="00A07BAD"/>
    <w:rsid w:val="00A07D42"/>
    <w:rsid w:val="00A10EC5"/>
    <w:rsid w:val="00A1100F"/>
    <w:rsid w:val="00A11017"/>
    <w:rsid w:val="00A130E9"/>
    <w:rsid w:val="00A132CE"/>
    <w:rsid w:val="00A13E68"/>
    <w:rsid w:val="00A1431C"/>
    <w:rsid w:val="00A14C45"/>
    <w:rsid w:val="00A15F2D"/>
    <w:rsid w:val="00A17ECB"/>
    <w:rsid w:val="00A205E6"/>
    <w:rsid w:val="00A214C5"/>
    <w:rsid w:val="00A226DA"/>
    <w:rsid w:val="00A229B6"/>
    <w:rsid w:val="00A22C15"/>
    <w:rsid w:val="00A23F85"/>
    <w:rsid w:val="00A246F6"/>
    <w:rsid w:val="00A24788"/>
    <w:rsid w:val="00A24960"/>
    <w:rsid w:val="00A25B62"/>
    <w:rsid w:val="00A26539"/>
    <w:rsid w:val="00A30857"/>
    <w:rsid w:val="00A31D64"/>
    <w:rsid w:val="00A31E77"/>
    <w:rsid w:val="00A3256F"/>
    <w:rsid w:val="00A33896"/>
    <w:rsid w:val="00A34592"/>
    <w:rsid w:val="00A40B01"/>
    <w:rsid w:val="00A41777"/>
    <w:rsid w:val="00A4349B"/>
    <w:rsid w:val="00A468BC"/>
    <w:rsid w:val="00A47C1B"/>
    <w:rsid w:val="00A47DD3"/>
    <w:rsid w:val="00A512DC"/>
    <w:rsid w:val="00A5149A"/>
    <w:rsid w:val="00A51ADA"/>
    <w:rsid w:val="00A53C09"/>
    <w:rsid w:val="00A54B01"/>
    <w:rsid w:val="00A56448"/>
    <w:rsid w:val="00A56816"/>
    <w:rsid w:val="00A56C6F"/>
    <w:rsid w:val="00A60970"/>
    <w:rsid w:val="00A61FA7"/>
    <w:rsid w:val="00A62DF2"/>
    <w:rsid w:val="00A643FB"/>
    <w:rsid w:val="00A65616"/>
    <w:rsid w:val="00A66111"/>
    <w:rsid w:val="00A670C7"/>
    <w:rsid w:val="00A6714B"/>
    <w:rsid w:val="00A6756A"/>
    <w:rsid w:val="00A67F37"/>
    <w:rsid w:val="00A7460A"/>
    <w:rsid w:val="00A74717"/>
    <w:rsid w:val="00A74C41"/>
    <w:rsid w:val="00A75420"/>
    <w:rsid w:val="00A75937"/>
    <w:rsid w:val="00A75983"/>
    <w:rsid w:val="00A80E6F"/>
    <w:rsid w:val="00A8130D"/>
    <w:rsid w:val="00A8162A"/>
    <w:rsid w:val="00A81E80"/>
    <w:rsid w:val="00A82715"/>
    <w:rsid w:val="00A84614"/>
    <w:rsid w:val="00A84737"/>
    <w:rsid w:val="00A84EEF"/>
    <w:rsid w:val="00A8527C"/>
    <w:rsid w:val="00A8599A"/>
    <w:rsid w:val="00A85B97"/>
    <w:rsid w:val="00A85D0C"/>
    <w:rsid w:val="00A873C4"/>
    <w:rsid w:val="00A90AE6"/>
    <w:rsid w:val="00A9108E"/>
    <w:rsid w:val="00A910D7"/>
    <w:rsid w:val="00A92F31"/>
    <w:rsid w:val="00A933AE"/>
    <w:rsid w:val="00A939C8"/>
    <w:rsid w:val="00A94D92"/>
    <w:rsid w:val="00A95C61"/>
    <w:rsid w:val="00A9701B"/>
    <w:rsid w:val="00A97DBA"/>
    <w:rsid w:val="00AA0802"/>
    <w:rsid w:val="00AA09C4"/>
    <w:rsid w:val="00AA2A1D"/>
    <w:rsid w:val="00AA378F"/>
    <w:rsid w:val="00AA62CF"/>
    <w:rsid w:val="00AA77E2"/>
    <w:rsid w:val="00AB0D1C"/>
    <w:rsid w:val="00AB1403"/>
    <w:rsid w:val="00AB183A"/>
    <w:rsid w:val="00AB3A7B"/>
    <w:rsid w:val="00AB463A"/>
    <w:rsid w:val="00AB49C7"/>
    <w:rsid w:val="00AB5528"/>
    <w:rsid w:val="00AB787A"/>
    <w:rsid w:val="00AC0582"/>
    <w:rsid w:val="00AC2187"/>
    <w:rsid w:val="00AC4BAF"/>
    <w:rsid w:val="00AC5BB3"/>
    <w:rsid w:val="00AC6789"/>
    <w:rsid w:val="00AC6B75"/>
    <w:rsid w:val="00AC7E9E"/>
    <w:rsid w:val="00AD0271"/>
    <w:rsid w:val="00AD081C"/>
    <w:rsid w:val="00AD0A11"/>
    <w:rsid w:val="00AD1280"/>
    <w:rsid w:val="00AD16DA"/>
    <w:rsid w:val="00AD1866"/>
    <w:rsid w:val="00AD1AFC"/>
    <w:rsid w:val="00AD3A3E"/>
    <w:rsid w:val="00AD4415"/>
    <w:rsid w:val="00AD50D3"/>
    <w:rsid w:val="00AD5403"/>
    <w:rsid w:val="00AD658B"/>
    <w:rsid w:val="00AD6590"/>
    <w:rsid w:val="00AD6916"/>
    <w:rsid w:val="00AD6D06"/>
    <w:rsid w:val="00AE2105"/>
    <w:rsid w:val="00AE2C15"/>
    <w:rsid w:val="00AE2E6B"/>
    <w:rsid w:val="00AE317A"/>
    <w:rsid w:val="00AE3C7D"/>
    <w:rsid w:val="00AE45A7"/>
    <w:rsid w:val="00AE4DEC"/>
    <w:rsid w:val="00AE5643"/>
    <w:rsid w:val="00AE5AA5"/>
    <w:rsid w:val="00AE6224"/>
    <w:rsid w:val="00AE7783"/>
    <w:rsid w:val="00AF08B7"/>
    <w:rsid w:val="00AF3115"/>
    <w:rsid w:val="00AF3415"/>
    <w:rsid w:val="00AF730A"/>
    <w:rsid w:val="00B02AEF"/>
    <w:rsid w:val="00B03A95"/>
    <w:rsid w:val="00B0504E"/>
    <w:rsid w:val="00B054D1"/>
    <w:rsid w:val="00B06441"/>
    <w:rsid w:val="00B102E6"/>
    <w:rsid w:val="00B113E5"/>
    <w:rsid w:val="00B1197B"/>
    <w:rsid w:val="00B11D69"/>
    <w:rsid w:val="00B13CB8"/>
    <w:rsid w:val="00B15AF5"/>
    <w:rsid w:val="00B15D34"/>
    <w:rsid w:val="00B1741A"/>
    <w:rsid w:val="00B20B03"/>
    <w:rsid w:val="00B20CEB"/>
    <w:rsid w:val="00B22983"/>
    <w:rsid w:val="00B2497F"/>
    <w:rsid w:val="00B26D18"/>
    <w:rsid w:val="00B277F3"/>
    <w:rsid w:val="00B305B1"/>
    <w:rsid w:val="00B317BC"/>
    <w:rsid w:val="00B31DD7"/>
    <w:rsid w:val="00B3282A"/>
    <w:rsid w:val="00B33086"/>
    <w:rsid w:val="00B337CA"/>
    <w:rsid w:val="00B33CCB"/>
    <w:rsid w:val="00B3677B"/>
    <w:rsid w:val="00B36CCB"/>
    <w:rsid w:val="00B37815"/>
    <w:rsid w:val="00B4091B"/>
    <w:rsid w:val="00B409FD"/>
    <w:rsid w:val="00B40C57"/>
    <w:rsid w:val="00B4176F"/>
    <w:rsid w:val="00B41AC0"/>
    <w:rsid w:val="00B423E4"/>
    <w:rsid w:val="00B4355F"/>
    <w:rsid w:val="00B43852"/>
    <w:rsid w:val="00B43D15"/>
    <w:rsid w:val="00B43EAB"/>
    <w:rsid w:val="00B45B2A"/>
    <w:rsid w:val="00B461CA"/>
    <w:rsid w:val="00B526AD"/>
    <w:rsid w:val="00B527BB"/>
    <w:rsid w:val="00B546EB"/>
    <w:rsid w:val="00B5557E"/>
    <w:rsid w:val="00B60D09"/>
    <w:rsid w:val="00B60E60"/>
    <w:rsid w:val="00B61155"/>
    <w:rsid w:val="00B612CE"/>
    <w:rsid w:val="00B61779"/>
    <w:rsid w:val="00B632AD"/>
    <w:rsid w:val="00B6358B"/>
    <w:rsid w:val="00B6379C"/>
    <w:rsid w:val="00B63CC2"/>
    <w:rsid w:val="00B6508D"/>
    <w:rsid w:val="00B662C7"/>
    <w:rsid w:val="00B66C0E"/>
    <w:rsid w:val="00B676D5"/>
    <w:rsid w:val="00B67AA3"/>
    <w:rsid w:val="00B712CD"/>
    <w:rsid w:val="00B71A78"/>
    <w:rsid w:val="00B7260F"/>
    <w:rsid w:val="00B7328A"/>
    <w:rsid w:val="00B7424A"/>
    <w:rsid w:val="00B74EE8"/>
    <w:rsid w:val="00B765F0"/>
    <w:rsid w:val="00B77DAB"/>
    <w:rsid w:val="00B77E83"/>
    <w:rsid w:val="00B80E51"/>
    <w:rsid w:val="00B818C6"/>
    <w:rsid w:val="00B828F5"/>
    <w:rsid w:val="00B84505"/>
    <w:rsid w:val="00B84C16"/>
    <w:rsid w:val="00B84E07"/>
    <w:rsid w:val="00B8554B"/>
    <w:rsid w:val="00B91DE0"/>
    <w:rsid w:val="00B93E35"/>
    <w:rsid w:val="00B95F32"/>
    <w:rsid w:val="00B95FC3"/>
    <w:rsid w:val="00B9662C"/>
    <w:rsid w:val="00B96E55"/>
    <w:rsid w:val="00B97E4A"/>
    <w:rsid w:val="00BA0344"/>
    <w:rsid w:val="00BA0E42"/>
    <w:rsid w:val="00BA1C9C"/>
    <w:rsid w:val="00BA2735"/>
    <w:rsid w:val="00BA388F"/>
    <w:rsid w:val="00BA441F"/>
    <w:rsid w:val="00BA7B73"/>
    <w:rsid w:val="00BB1079"/>
    <w:rsid w:val="00BB1A45"/>
    <w:rsid w:val="00BB22CC"/>
    <w:rsid w:val="00BB2477"/>
    <w:rsid w:val="00BB2536"/>
    <w:rsid w:val="00BB2637"/>
    <w:rsid w:val="00BB328D"/>
    <w:rsid w:val="00BB32B6"/>
    <w:rsid w:val="00BB3F5B"/>
    <w:rsid w:val="00BB466C"/>
    <w:rsid w:val="00BB489D"/>
    <w:rsid w:val="00BB65E2"/>
    <w:rsid w:val="00BB6825"/>
    <w:rsid w:val="00BB6D3F"/>
    <w:rsid w:val="00BC015A"/>
    <w:rsid w:val="00BC0536"/>
    <w:rsid w:val="00BC1E56"/>
    <w:rsid w:val="00BC4F38"/>
    <w:rsid w:val="00BC509C"/>
    <w:rsid w:val="00BC535B"/>
    <w:rsid w:val="00BC6925"/>
    <w:rsid w:val="00BC722B"/>
    <w:rsid w:val="00BC7358"/>
    <w:rsid w:val="00BC799D"/>
    <w:rsid w:val="00BD0853"/>
    <w:rsid w:val="00BD12EF"/>
    <w:rsid w:val="00BD2E4C"/>
    <w:rsid w:val="00BD4737"/>
    <w:rsid w:val="00BD49C7"/>
    <w:rsid w:val="00BD5317"/>
    <w:rsid w:val="00BD5BC8"/>
    <w:rsid w:val="00BD62C2"/>
    <w:rsid w:val="00BD6977"/>
    <w:rsid w:val="00BE3151"/>
    <w:rsid w:val="00BE36CF"/>
    <w:rsid w:val="00BE469C"/>
    <w:rsid w:val="00BE486A"/>
    <w:rsid w:val="00BE532A"/>
    <w:rsid w:val="00BE5C44"/>
    <w:rsid w:val="00BF2487"/>
    <w:rsid w:val="00BF3219"/>
    <w:rsid w:val="00BF49C9"/>
    <w:rsid w:val="00BF59AD"/>
    <w:rsid w:val="00C0058C"/>
    <w:rsid w:val="00C00738"/>
    <w:rsid w:val="00C0231C"/>
    <w:rsid w:val="00C026D7"/>
    <w:rsid w:val="00C050AF"/>
    <w:rsid w:val="00C0522C"/>
    <w:rsid w:val="00C054FF"/>
    <w:rsid w:val="00C05AEE"/>
    <w:rsid w:val="00C0672B"/>
    <w:rsid w:val="00C06F36"/>
    <w:rsid w:val="00C07993"/>
    <w:rsid w:val="00C10142"/>
    <w:rsid w:val="00C10EF8"/>
    <w:rsid w:val="00C11F95"/>
    <w:rsid w:val="00C13D8A"/>
    <w:rsid w:val="00C14669"/>
    <w:rsid w:val="00C14C18"/>
    <w:rsid w:val="00C15738"/>
    <w:rsid w:val="00C164A8"/>
    <w:rsid w:val="00C16ABF"/>
    <w:rsid w:val="00C16DF8"/>
    <w:rsid w:val="00C17208"/>
    <w:rsid w:val="00C17E79"/>
    <w:rsid w:val="00C204D4"/>
    <w:rsid w:val="00C23F05"/>
    <w:rsid w:val="00C24AF3"/>
    <w:rsid w:val="00C24D1E"/>
    <w:rsid w:val="00C2542F"/>
    <w:rsid w:val="00C27DB0"/>
    <w:rsid w:val="00C27DE4"/>
    <w:rsid w:val="00C300E2"/>
    <w:rsid w:val="00C30E3C"/>
    <w:rsid w:val="00C33092"/>
    <w:rsid w:val="00C33E6C"/>
    <w:rsid w:val="00C3414A"/>
    <w:rsid w:val="00C35ABC"/>
    <w:rsid w:val="00C37720"/>
    <w:rsid w:val="00C37804"/>
    <w:rsid w:val="00C40026"/>
    <w:rsid w:val="00C41969"/>
    <w:rsid w:val="00C44C11"/>
    <w:rsid w:val="00C44F2B"/>
    <w:rsid w:val="00C454EF"/>
    <w:rsid w:val="00C4594F"/>
    <w:rsid w:val="00C45D15"/>
    <w:rsid w:val="00C46DA1"/>
    <w:rsid w:val="00C47148"/>
    <w:rsid w:val="00C50362"/>
    <w:rsid w:val="00C506B0"/>
    <w:rsid w:val="00C50887"/>
    <w:rsid w:val="00C50D31"/>
    <w:rsid w:val="00C5209F"/>
    <w:rsid w:val="00C52D82"/>
    <w:rsid w:val="00C530C4"/>
    <w:rsid w:val="00C536F1"/>
    <w:rsid w:val="00C54102"/>
    <w:rsid w:val="00C548D1"/>
    <w:rsid w:val="00C54D8C"/>
    <w:rsid w:val="00C550D0"/>
    <w:rsid w:val="00C5551B"/>
    <w:rsid w:val="00C55594"/>
    <w:rsid w:val="00C561CB"/>
    <w:rsid w:val="00C56750"/>
    <w:rsid w:val="00C56EDD"/>
    <w:rsid w:val="00C56F14"/>
    <w:rsid w:val="00C61058"/>
    <w:rsid w:val="00C6263C"/>
    <w:rsid w:val="00C62B32"/>
    <w:rsid w:val="00C63383"/>
    <w:rsid w:val="00C63D59"/>
    <w:rsid w:val="00C65FCF"/>
    <w:rsid w:val="00C672C9"/>
    <w:rsid w:val="00C70A1C"/>
    <w:rsid w:val="00C733A7"/>
    <w:rsid w:val="00C74507"/>
    <w:rsid w:val="00C74608"/>
    <w:rsid w:val="00C74913"/>
    <w:rsid w:val="00C74B90"/>
    <w:rsid w:val="00C755D9"/>
    <w:rsid w:val="00C757C3"/>
    <w:rsid w:val="00C762B0"/>
    <w:rsid w:val="00C76372"/>
    <w:rsid w:val="00C770A5"/>
    <w:rsid w:val="00C800A4"/>
    <w:rsid w:val="00C809D8"/>
    <w:rsid w:val="00C814B4"/>
    <w:rsid w:val="00C81650"/>
    <w:rsid w:val="00C8274A"/>
    <w:rsid w:val="00C839BD"/>
    <w:rsid w:val="00C868B7"/>
    <w:rsid w:val="00C87926"/>
    <w:rsid w:val="00C879F1"/>
    <w:rsid w:val="00C900A0"/>
    <w:rsid w:val="00C905AB"/>
    <w:rsid w:val="00C91977"/>
    <w:rsid w:val="00C92428"/>
    <w:rsid w:val="00C92470"/>
    <w:rsid w:val="00C92AA5"/>
    <w:rsid w:val="00C92C47"/>
    <w:rsid w:val="00C94100"/>
    <w:rsid w:val="00C94507"/>
    <w:rsid w:val="00C94BD9"/>
    <w:rsid w:val="00C95FF4"/>
    <w:rsid w:val="00C962DA"/>
    <w:rsid w:val="00CA02AA"/>
    <w:rsid w:val="00CA0C90"/>
    <w:rsid w:val="00CA322A"/>
    <w:rsid w:val="00CA3AFC"/>
    <w:rsid w:val="00CA409E"/>
    <w:rsid w:val="00CA46E4"/>
    <w:rsid w:val="00CA4A4C"/>
    <w:rsid w:val="00CA5619"/>
    <w:rsid w:val="00CA65AB"/>
    <w:rsid w:val="00CA6ADA"/>
    <w:rsid w:val="00CB00A7"/>
    <w:rsid w:val="00CB02C5"/>
    <w:rsid w:val="00CB058D"/>
    <w:rsid w:val="00CB1C00"/>
    <w:rsid w:val="00CB2475"/>
    <w:rsid w:val="00CB2925"/>
    <w:rsid w:val="00CB2C5F"/>
    <w:rsid w:val="00CB32CE"/>
    <w:rsid w:val="00CB37B5"/>
    <w:rsid w:val="00CB3945"/>
    <w:rsid w:val="00CB3CB6"/>
    <w:rsid w:val="00CB4F2D"/>
    <w:rsid w:val="00CB5A38"/>
    <w:rsid w:val="00CB66A7"/>
    <w:rsid w:val="00CB6B42"/>
    <w:rsid w:val="00CB6F11"/>
    <w:rsid w:val="00CB75D2"/>
    <w:rsid w:val="00CB7C83"/>
    <w:rsid w:val="00CC0455"/>
    <w:rsid w:val="00CC0C9A"/>
    <w:rsid w:val="00CC3A80"/>
    <w:rsid w:val="00CC4754"/>
    <w:rsid w:val="00CC4FDA"/>
    <w:rsid w:val="00CC5619"/>
    <w:rsid w:val="00CC5F75"/>
    <w:rsid w:val="00CC601D"/>
    <w:rsid w:val="00CC736F"/>
    <w:rsid w:val="00CC7A78"/>
    <w:rsid w:val="00CD07E2"/>
    <w:rsid w:val="00CD18D6"/>
    <w:rsid w:val="00CD2192"/>
    <w:rsid w:val="00CD3719"/>
    <w:rsid w:val="00CE099B"/>
    <w:rsid w:val="00CE1EE1"/>
    <w:rsid w:val="00CE4CD2"/>
    <w:rsid w:val="00CF021A"/>
    <w:rsid w:val="00CF094A"/>
    <w:rsid w:val="00CF183B"/>
    <w:rsid w:val="00CF1D82"/>
    <w:rsid w:val="00CF2D2F"/>
    <w:rsid w:val="00CF6C03"/>
    <w:rsid w:val="00CF7CE5"/>
    <w:rsid w:val="00CF7F31"/>
    <w:rsid w:val="00CF7FC5"/>
    <w:rsid w:val="00D01A84"/>
    <w:rsid w:val="00D025CF"/>
    <w:rsid w:val="00D03C37"/>
    <w:rsid w:val="00D05A81"/>
    <w:rsid w:val="00D05C50"/>
    <w:rsid w:val="00D06E21"/>
    <w:rsid w:val="00D111B5"/>
    <w:rsid w:val="00D142BD"/>
    <w:rsid w:val="00D14DA3"/>
    <w:rsid w:val="00D1531A"/>
    <w:rsid w:val="00D159B9"/>
    <w:rsid w:val="00D167F6"/>
    <w:rsid w:val="00D16D0C"/>
    <w:rsid w:val="00D17991"/>
    <w:rsid w:val="00D21069"/>
    <w:rsid w:val="00D21682"/>
    <w:rsid w:val="00D26AA3"/>
    <w:rsid w:val="00D272B8"/>
    <w:rsid w:val="00D273C4"/>
    <w:rsid w:val="00D30445"/>
    <w:rsid w:val="00D31805"/>
    <w:rsid w:val="00D321F5"/>
    <w:rsid w:val="00D3462D"/>
    <w:rsid w:val="00D35608"/>
    <w:rsid w:val="00D35F6D"/>
    <w:rsid w:val="00D4217E"/>
    <w:rsid w:val="00D430E6"/>
    <w:rsid w:val="00D43BE1"/>
    <w:rsid w:val="00D44199"/>
    <w:rsid w:val="00D46E9B"/>
    <w:rsid w:val="00D519D3"/>
    <w:rsid w:val="00D534DA"/>
    <w:rsid w:val="00D53829"/>
    <w:rsid w:val="00D53F87"/>
    <w:rsid w:val="00D56033"/>
    <w:rsid w:val="00D56124"/>
    <w:rsid w:val="00D5678F"/>
    <w:rsid w:val="00D57E61"/>
    <w:rsid w:val="00D61711"/>
    <w:rsid w:val="00D624EE"/>
    <w:rsid w:val="00D62AD6"/>
    <w:rsid w:val="00D63C98"/>
    <w:rsid w:val="00D6405B"/>
    <w:rsid w:val="00D64CE2"/>
    <w:rsid w:val="00D65B63"/>
    <w:rsid w:val="00D65CEE"/>
    <w:rsid w:val="00D668CE"/>
    <w:rsid w:val="00D66A80"/>
    <w:rsid w:val="00D672D5"/>
    <w:rsid w:val="00D7216D"/>
    <w:rsid w:val="00D72A06"/>
    <w:rsid w:val="00D72A8C"/>
    <w:rsid w:val="00D72C31"/>
    <w:rsid w:val="00D72D77"/>
    <w:rsid w:val="00D77A98"/>
    <w:rsid w:val="00D810A6"/>
    <w:rsid w:val="00D81772"/>
    <w:rsid w:val="00D82FFA"/>
    <w:rsid w:val="00D84282"/>
    <w:rsid w:val="00D84918"/>
    <w:rsid w:val="00D853ED"/>
    <w:rsid w:val="00D9109F"/>
    <w:rsid w:val="00D91971"/>
    <w:rsid w:val="00D91D54"/>
    <w:rsid w:val="00D9278C"/>
    <w:rsid w:val="00D929E7"/>
    <w:rsid w:val="00D92A59"/>
    <w:rsid w:val="00D94023"/>
    <w:rsid w:val="00D952AF"/>
    <w:rsid w:val="00D966CD"/>
    <w:rsid w:val="00D96D68"/>
    <w:rsid w:val="00DA2EE6"/>
    <w:rsid w:val="00DA3E3A"/>
    <w:rsid w:val="00DA434F"/>
    <w:rsid w:val="00DA44CA"/>
    <w:rsid w:val="00DA4646"/>
    <w:rsid w:val="00DA46AB"/>
    <w:rsid w:val="00DA473E"/>
    <w:rsid w:val="00DA6410"/>
    <w:rsid w:val="00DA7B30"/>
    <w:rsid w:val="00DB331E"/>
    <w:rsid w:val="00DB63A2"/>
    <w:rsid w:val="00DB7480"/>
    <w:rsid w:val="00DC21D6"/>
    <w:rsid w:val="00DC2DB9"/>
    <w:rsid w:val="00DC32FE"/>
    <w:rsid w:val="00DC34B9"/>
    <w:rsid w:val="00DC382E"/>
    <w:rsid w:val="00DC44DD"/>
    <w:rsid w:val="00DC45FB"/>
    <w:rsid w:val="00DC47BC"/>
    <w:rsid w:val="00DC62FE"/>
    <w:rsid w:val="00DC7222"/>
    <w:rsid w:val="00DC74FD"/>
    <w:rsid w:val="00DD09C6"/>
    <w:rsid w:val="00DD112D"/>
    <w:rsid w:val="00DD1612"/>
    <w:rsid w:val="00DD2339"/>
    <w:rsid w:val="00DD2C0C"/>
    <w:rsid w:val="00DD3CC6"/>
    <w:rsid w:val="00DD3F3F"/>
    <w:rsid w:val="00DD423E"/>
    <w:rsid w:val="00DD7FF8"/>
    <w:rsid w:val="00DE2034"/>
    <w:rsid w:val="00DE2482"/>
    <w:rsid w:val="00DE3027"/>
    <w:rsid w:val="00DE6158"/>
    <w:rsid w:val="00DE713A"/>
    <w:rsid w:val="00DF00CE"/>
    <w:rsid w:val="00DF1485"/>
    <w:rsid w:val="00DF3321"/>
    <w:rsid w:val="00DF40BD"/>
    <w:rsid w:val="00DF4EB3"/>
    <w:rsid w:val="00DF645D"/>
    <w:rsid w:val="00DF6D13"/>
    <w:rsid w:val="00E003E0"/>
    <w:rsid w:val="00E0047D"/>
    <w:rsid w:val="00E00C06"/>
    <w:rsid w:val="00E00F1D"/>
    <w:rsid w:val="00E0202C"/>
    <w:rsid w:val="00E028AA"/>
    <w:rsid w:val="00E046B5"/>
    <w:rsid w:val="00E05512"/>
    <w:rsid w:val="00E06249"/>
    <w:rsid w:val="00E06923"/>
    <w:rsid w:val="00E07593"/>
    <w:rsid w:val="00E078CD"/>
    <w:rsid w:val="00E1156E"/>
    <w:rsid w:val="00E125FB"/>
    <w:rsid w:val="00E12943"/>
    <w:rsid w:val="00E136C7"/>
    <w:rsid w:val="00E138A2"/>
    <w:rsid w:val="00E138AF"/>
    <w:rsid w:val="00E14412"/>
    <w:rsid w:val="00E14B3B"/>
    <w:rsid w:val="00E1722B"/>
    <w:rsid w:val="00E17C33"/>
    <w:rsid w:val="00E216BA"/>
    <w:rsid w:val="00E22178"/>
    <w:rsid w:val="00E22405"/>
    <w:rsid w:val="00E22861"/>
    <w:rsid w:val="00E23BC3"/>
    <w:rsid w:val="00E243DD"/>
    <w:rsid w:val="00E24DFA"/>
    <w:rsid w:val="00E25080"/>
    <w:rsid w:val="00E26919"/>
    <w:rsid w:val="00E2700E"/>
    <w:rsid w:val="00E27274"/>
    <w:rsid w:val="00E332C7"/>
    <w:rsid w:val="00E3384E"/>
    <w:rsid w:val="00E33A85"/>
    <w:rsid w:val="00E36E5A"/>
    <w:rsid w:val="00E376AE"/>
    <w:rsid w:val="00E40742"/>
    <w:rsid w:val="00E40EBF"/>
    <w:rsid w:val="00E42485"/>
    <w:rsid w:val="00E42508"/>
    <w:rsid w:val="00E457C3"/>
    <w:rsid w:val="00E46787"/>
    <w:rsid w:val="00E469B0"/>
    <w:rsid w:val="00E46AE4"/>
    <w:rsid w:val="00E47437"/>
    <w:rsid w:val="00E506C8"/>
    <w:rsid w:val="00E52F51"/>
    <w:rsid w:val="00E53401"/>
    <w:rsid w:val="00E5352E"/>
    <w:rsid w:val="00E54D8B"/>
    <w:rsid w:val="00E60904"/>
    <w:rsid w:val="00E6090F"/>
    <w:rsid w:val="00E60967"/>
    <w:rsid w:val="00E615CE"/>
    <w:rsid w:val="00E6202E"/>
    <w:rsid w:val="00E62388"/>
    <w:rsid w:val="00E62863"/>
    <w:rsid w:val="00E63189"/>
    <w:rsid w:val="00E6474D"/>
    <w:rsid w:val="00E6598C"/>
    <w:rsid w:val="00E667E1"/>
    <w:rsid w:val="00E66FC8"/>
    <w:rsid w:val="00E67111"/>
    <w:rsid w:val="00E67BF6"/>
    <w:rsid w:val="00E70B70"/>
    <w:rsid w:val="00E70D95"/>
    <w:rsid w:val="00E71D97"/>
    <w:rsid w:val="00E774F6"/>
    <w:rsid w:val="00E77FFD"/>
    <w:rsid w:val="00E80F17"/>
    <w:rsid w:val="00E81D2F"/>
    <w:rsid w:val="00E8241F"/>
    <w:rsid w:val="00E8268A"/>
    <w:rsid w:val="00E83BD7"/>
    <w:rsid w:val="00E859B7"/>
    <w:rsid w:val="00E86066"/>
    <w:rsid w:val="00E87589"/>
    <w:rsid w:val="00E90D07"/>
    <w:rsid w:val="00E912BB"/>
    <w:rsid w:val="00E91D68"/>
    <w:rsid w:val="00E924AC"/>
    <w:rsid w:val="00E938C6"/>
    <w:rsid w:val="00E955D0"/>
    <w:rsid w:val="00E9567F"/>
    <w:rsid w:val="00E95767"/>
    <w:rsid w:val="00EA095C"/>
    <w:rsid w:val="00EA172A"/>
    <w:rsid w:val="00EA2C31"/>
    <w:rsid w:val="00EA3019"/>
    <w:rsid w:val="00EA4540"/>
    <w:rsid w:val="00EA4B33"/>
    <w:rsid w:val="00EA79C1"/>
    <w:rsid w:val="00EB06E1"/>
    <w:rsid w:val="00EB09E8"/>
    <w:rsid w:val="00EB0A82"/>
    <w:rsid w:val="00EB0FC0"/>
    <w:rsid w:val="00EB1148"/>
    <w:rsid w:val="00EB11BA"/>
    <w:rsid w:val="00EB2BFA"/>
    <w:rsid w:val="00EB3DD7"/>
    <w:rsid w:val="00EB430A"/>
    <w:rsid w:val="00EB7F85"/>
    <w:rsid w:val="00EC3FDF"/>
    <w:rsid w:val="00EC4135"/>
    <w:rsid w:val="00EC5D3B"/>
    <w:rsid w:val="00EC634D"/>
    <w:rsid w:val="00ED1E7C"/>
    <w:rsid w:val="00ED3579"/>
    <w:rsid w:val="00ED3F77"/>
    <w:rsid w:val="00ED472A"/>
    <w:rsid w:val="00ED56E5"/>
    <w:rsid w:val="00ED6672"/>
    <w:rsid w:val="00ED6CA5"/>
    <w:rsid w:val="00ED6CDD"/>
    <w:rsid w:val="00ED6D59"/>
    <w:rsid w:val="00ED704A"/>
    <w:rsid w:val="00ED7198"/>
    <w:rsid w:val="00EE05E3"/>
    <w:rsid w:val="00EE0609"/>
    <w:rsid w:val="00EE15B6"/>
    <w:rsid w:val="00EE1AFD"/>
    <w:rsid w:val="00EE24B7"/>
    <w:rsid w:val="00EE2AEF"/>
    <w:rsid w:val="00EE376B"/>
    <w:rsid w:val="00EE3F9D"/>
    <w:rsid w:val="00EE4533"/>
    <w:rsid w:val="00EE59D6"/>
    <w:rsid w:val="00EE6D3D"/>
    <w:rsid w:val="00EE6E7C"/>
    <w:rsid w:val="00EE7A68"/>
    <w:rsid w:val="00EF1F9D"/>
    <w:rsid w:val="00EF2F09"/>
    <w:rsid w:val="00EF3C12"/>
    <w:rsid w:val="00EF550B"/>
    <w:rsid w:val="00EF5F6B"/>
    <w:rsid w:val="00F01357"/>
    <w:rsid w:val="00F01500"/>
    <w:rsid w:val="00F01642"/>
    <w:rsid w:val="00F022DD"/>
    <w:rsid w:val="00F02BA5"/>
    <w:rsid w:val="00F0670C"/>
    <w:rsid w:val="00F10212"/>
    <w:rsid w:val="00F10A10"/>
    <w:rsid w:val="00F10A17"/>
    <w:rsid w:val="00F10B54"/>
    <w:rsid w:val="00F13E39"/>
    <w:rsid w:val="00F144B5"/>
    <w:rsid w:val="00F15323"/>
    <w:rsid w:val="00F156E1"/>
    <w:rsid w:val="00F1746D"/>
    <w:rsid w:val="00F20392"/>
    <w:rsid w:val="00F22C26"/>
    <w:rsid w:val="00F23098"/>
    <w:rsid w:val="00F251A5"/>
    <w:rsid w:val="00F25224"/>
    <w:rsid w:val="00F25EEB"/>
    <w:rsid w:val="00F272C7"/>
    <w:rsid w:val="00F3188A"/>
    <w:rsid w:val="00F31A96"/>
    <w:rsid w:val="00F31C13"/>
    <w:rsid w:val="00F32578"/>
    <w:rsid w:val="00F3262E"/>
    <w:rsid w:val="00F32BE5"/>
    <w:rsid w:val="00F33246"/>
    <w:rsid w:val="00F33648"/>
    <w:rsid w:val="00F34E2B"/>
    <w:rsid w:val="00F3554A"/>
    <w:rsid w:val="00F372A1"/>
    <w:rsid w:val="00F3744B"/>
    <w:rsid w:val="00F40D38"/>
    <w:rsid w:val="00F4151B"/>
    <w:rsid w:val="00F436B2"/>
    <w:rsid w:val="00F43ABE"/>
    <w:rsid w:val="00F45B9D"/>
    <w:rsid w:val="00F463C3"/>
    <w:rsid w:val="00F46EFC"/>
    <w:rsid w:val="00F50911"/>
    <w:rsid w:val="00F52C5B"/>
    <w:rsid w:val="00F52D0D"/>
    <w:rsid w:val="00F53DB8"/>
    <w:rsid w:val="00F57834"/>
    <w:rsid w:val="00F57BC5"/>
    <w:rsid w:val="00F61AA9"/>
    <w:rsid w:val="00F67C06"/>
    <w:rsid w:val="00F67FD3"/>
    <w:rsid w:val="00F70331"/>
    <w:rsid w:val="00F726CF"/>
    <w:rsid w:val="00F7272E"/>
    <w:rsid w:val="00F737BD"/>
    <w:rsid w:val="00F738E8"/>
    <w:rsid w:val="00F73A33"/>
    <w:rsid w:val="00F75243"/>
    <w:rsid w:val="00F772E5"/>
    <w:rsid w:val="00F77976"/>
    <w:rsid w:val="00F77F52"/>
    <w:rsid w:val="00F808F4"/>
    <w:rsid w:val="00F80D1B"/>
    <w:rsid w:val="00F80EB8"/>
    <w:rsid w:val="00F85C97"/>
    <w:rsid w:val="00F87F49"/>
    <w:rsid w:val="00F87F6C"/>
    <w:rsid w:val="00F90470"/>
    <w:rsid w:val="00F91174"/>
    <w:rsid w:val="00F91283"/>
    <w:rsid w:val="00F91719"/>
    <w:rsid w:val="00F922AB"/>
    <w:rsid w:val="00F9433D"/>
    <w:rsid w:val="00F94AFC"/>
    <w:rsid w:val="00F94BAD"/>
    <w:rsid w:val="00F95290"/>
    <w:rsid w:val="00F9530B"/>
    <w:rsid w:val="00F959B2"/>
    <w:rsid w:val="00F96B5C"/>
    <w:rsid w:val="00F974E7"/>
    <w:rsid w:val="00F979BB"/>
    <w:rsid w:val="00FA2CA2"/>
    <w:rsid w:val="00FA315D"/>
    <w:rsid w:val="00FA35B6"/>
    <w:rsid w:val="00FA4864"/>
    <w:rsid w:val="00FA6643"/>
    <w:rsid w:val="00FA70C1"/>
    <w:rsid w:val="00FB086E"/>
    <w:rsid w:val="00FB11C0"/>
    <w:rsid w:val="00FB1C1B"/>
    <w:rsid w:val="00FB3A6A"/>
    <w:rsid w:val="00FB6183"/>
    <w:rsid w:val="00FB621A"/>
    <w:rsid w:val="00FB68AA"/>
    <w:rsid w:val="00FC1B3A"/>
    <w:rsid w:val="00FC541D"/>
    <w:rsid w:val="00FC77DE"/>
    <w:rsid w:val="00FC7AEC"/>
    <w:rsid w:val="00FD1E0F"/>
    <w:rsid w:val="00FD2041"/>
    <w:rsid w:val="00FD4E13"/>
    <w:rsid w:val="00FD58D7"/>
    <w:rsid w:val="00FD6ECA"/>
    <w:rsid w:val="00FE033D"/>
    <w:rsid w:val="00FE0F37"/>
    <w:rsid w:val="00FE2154"/>
    <w:rsid w:val="00FE2255"/>
    <w:rsid w:val="00FE256D"/>
    <w:rsid w:val="00FE2CF5"/>
    <w:rsid w:val="00FE3F8E"/>
    <w:rsid w:val="00FE42FA"/>
    <w:rsid w:val="00FE43BF"/>
    <w:rsid w:val="00FE70F0"/>
    <w:rsid w:val="00FF1C80"/>
    <w:rsid w:val="00FF2780"/>
    <w:rsid w:val="00FF2F66"/>
    <w:rsid w:val="00FF5CED"/>
    <w:rsid w:val="00FF6C16"/>
    <w:rsid w:val="00FF71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EE37D5"/>
  <w15:docId w15:val="{D7B27BBF-B332-40D7-9643-5DB2A2BF2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077"/>
    <w:pPr>
      <w:spacing w:after="200" w:line="276" w:lineRule="auto"/>
    </w:pPr>
    <w:rPr>
      <w:noProof/>
      <w:sz w:val="22"/>
      <w:szCs w:val="22"/>
      <w:lang w:val="en-GB" w:eastAsia="en-US"/>
    </w:rPr>
  </w:style>
  <w:style w:type="paragraph" w:styleId="Heading1">
    <w:name w:val="heading 1"/>
    <w:basedOn w:val="Normal"/>
    <w:next w:val="Normal"/>
    <w:link w:val="Heading1Char"/>
    <w:uiPriority w:val="9"/>
    <w:qFormat/>
    <w:rsid w:val="009B4153"/>
    <w:pPr>
      <w:spacing w:before="120" w:after="0" w:line="240" w:lineRule="auto"/>
      <w:outlineLvl w:val="0"/>
    </w:pPr>
    <w:rPr>
      <w:rFonts w:ascii="Palatino Linotype" w:hAnsi="Palatino Linotype"/>
      <w:b/>
      <w:bCs/>
      <w:color w:val="000000" w:themeColor="text1"/>
      <w:lang w:val="en-US"/>
    </w:rPr>
  </w:style>
  <w:style w:type="paragraph" w:styleId="Heading2">
    <w:name w:val="heading 2"/>
    <w:basedOn w:val="Normal"/>
    <w:next w:val="Normal"/>
    <w:link w:val="Heading2Char"/>
    <w:uiPriority w:val="9"/>
    <w:unhideWhenUsed/>
    <w:qFormat/>
    <w:rsid w:val="003B0A02"/>
    <w:pPr>
      <w:spacing w:before="120" w:after="0" w:line="240" w:lineRule="auto"/>
      <w:jc w:val="both"/>
      <w:outlineLvl w:val="1"/>
    </w:pPr>
    <w:rPr>
      <w:rFonts w:ascii="Palatino Linotype" w:hAnsi="Palatino Linotype"/>
      <w:b/>
      <w:bCs/>
      <w:color w:val="000000" w:themeColor="text1"/>
      <w:sz w:val="20"/>
      <w:szCs w:val="20"/>
    </w:rPr>
  </w:style>
  <w:style w:type="paragraph" w:styleId="Heading3">
    <w:name w:val="heading 3"/>
    <w:basedOn w:val="Normal"/>
    <w:link w:val="Heading3Char"/>
    <w:uiPriority w:val="9"/>
    <w:qFormat/>
    <w:rsid w:val="005C4AE2"/>
    <w:pPr>
      <w:spacing w:before="120" w:after="0" w:line="240" w:lineRule="auto"/>
      <w:jc w:val="both"/>
      <w:outlineLvl w:val="2"/>
    </w:pPr>
    <w:rPr>
      <w:rFonts w:ascii="Palatino Linotype" w:hAnsi="Palatino Linotype"/>
      <w:b/>
      <w:i/>
      <w:color w:val="000000" w:themeColor="text1"/>
      <w:sz w:val="20"/>
      <w:szCs w:val="20"/>
    </w:rPr>
  </w:style>
  <w:style w:type="paragraph" w:styleId="Heading4">
    <w:name w:val="heading 4"/>
    <w:basedOn w:val="Normal"/>
    <w:link w:val="Heading4Char"/>
    <w:uiPriority w:val="9"/>
    <w:qFormat/>
    <w:rsid w:val="001947D3"/>
    <w:pPr>
      <w:spacing w:before="100" w:beforeAutospacing="1" w:after="100" w:afterAutospacing="1" w:line="240" w:lineRule="auto"/>
      <w:outlineLvl w:val="3"/>
    </w:pPr>
    <w:rPr>
      <w:rFonts w:ascii="Times New Roman" w:eastAsia="Times New Roman" w:hAnsi="Times New Roman" w:cs="Times New Roman"/>
      <w:b/>
      <w:bCs/>
      <w:noProof w:val="0"/>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4153"/>
    <w:rPr>
      <w:rFonts w:ascii="Palatino Linotype" w:hAnsi="Palatino Linotype"/>
      <w:b/>
      <w:bCs/>
      <w:noProof/>
      <w:color w:val="000000" w:themeColor="text1"/>
      <w:sz w:val="22"/>
      <w:szCs w:val="22"/>
      <w:lang w:eastAsia="en-US"/>
    </w:rPr>
  </w:style>
  <w:style w:type="character" w:customStyle="1" w:styleId="Heading3Char">
    <w:name w:val="Heading 3 Char"/>
    <w:basedOn w:val="DefaultParagraphFont"/>
    <w:link w:val="Heading3"/>
    <w:uiPriority w:val="9"/>
    <w:rsid w:val="005C4AE2"/>
    <w:rPr>
      <w:rFonts w:ascii="Palatino Linotype" w:hAnsi="Palatino Linotype"/>
      <w:b/>
      <w:i/>
      <w:noProof/>
      <w:color w:val="000000" w:themeColor="text1"/>
      <w:lang w:val="en-GB" w:eastAsia="en-US"/>
    </w:rPr>
  </w:style>
  <w:style w:type="character" w:customStyle="1" w:styleId="Heading4Char">
    <w:name w:val="Heading 4 Char"/>
    <w:basedOn w:val="DefaultParagraphFont"/>
    <w:link w:val="Heading4"/>
    <w:uiPriority w:val="9"/>
    <w:rsid w:val="001947D3"/>
    <w:rPr>
      <w:rFonts w:ascii="Times New Roman" w:eastAsia="Times New Roman" w:hAnsi="Times New Roman" w:cs="Times New Roman"/>
      <w:b/>
      <w:bCs/>
      <w:sz w:val="24"/>
      <w:szCs w:val="24"/>
    </w:rPr>
  </w:style>
  <w:style w:type="paragraph" w:styleId="ListParagraph">
    <w:name w:val="List Paragraph"/>
    <w:basedOn w:val="Normal"/>
    <w:uiPriority w:val="34"/>
    <w:qFormat/>
    <w:rsid w:val="00117B07"/>
    <w:pPr>
      <w:ind w:left="720"/>
      <w:contextualSpacing/>
    </w:pPr>
  </w:style>
  <w:style w:type="paragraph" w:customStyle="1" w:styleId="Default">
    <w:name w:val="Default"/>
    <w:rsid w:val="00E469B0"/>
    <w:pPr>
      <w:autoSpaceDE w:val="0"/>
      <w:autoSpaceDN w:val="0"/>
      <w:adjustRightInd w:val="0"/>
    </w:pPr>
    <w:rPr>
      <w:rFonts w:ascii="Times New Roman" w:hAnsi="Times New Roman" w:cs="Times New Roman"/>
      <w:color w:val="000000"/>
      <w:sz w:val="24"/>
      <w:szCs w:val="24"/>
      <w:lang w:val="en-MY" w:eastAsia="en-US"/>
    </w:rPr>
  </w:style>
  <w:style w:type="table" w:customStyle="1" w:styleId="LightList1">
    <w:name w:val="Light List1"/>
    <w:basedOn w:val="TableNormal"/>
    <w:uiPriority w:val="61"/>
    <w:rsid w:val="00053AE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665C1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2">
    <w:name w:val="Light List12"/>
    <w:basedOn w:val="TableNormal"/>
    <w:uiPriority w:val="61"/>
    <w:rsid w:val="00272AD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uthor">
    <w:name w:val="Author"/>
    <w:rsid w:val="009E4445"/>
    <w:pPr>
      <w:spacing w:before="360" w:after="40"/>
      <w:jc w:val="center"/>
    </w:pPr>
    <w:rPr>
      <w:rFonts w:ascii="Times New Roman" w:eastAsia="SimSun" w:hAnsi="Times New Roman" w:cs="Times New Roman"/>
      <w:noProof/>
      <w:sz w:val="22"/>
      <w:szCs w:val="22"/>
      <w:lang w:eastAsia="en-US"/>
    </w:rPr>
  </w:style>
  <w:style w:type="table" w:styleId="TableGrid">
    <w:name w:val="Table Grid"/>
    <w:basedOn w:val="TableNormal"/>
    <w:uiPriority w:val="39"/>
    <w:rsid w:val="00065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750AA0"/>
    <w:pPr>
      <w:spacing w:after="0"/>
      <w:jc w:val="center"/>
    </w:pPr>
    <w:rPr>
      <w:rFonts w:cs="Calibri"/>
      <w:lang w:val="en-US"/>
    </w:rPr>
  </w:style>
  <w:style w:type="character" w:customStyle="1" w:styleId="EndNoteBibliographyTitleChar">
    <w:name w:val="EndNote Bibliography Title Char"/>
    <w:link w:val="EndNoteBibliographyTitle"/>
    <w:rsid w:val="00750AA0"/>
    <w:rPr>
      <w:rFonts w:ascii="Calibri" w:hAnsi="Calibri" w:cs="Calibri"/>
      <w:noProof/>
      <w:lang w:val="en-US"/>
    </w:rPr>
  </w:style>
  <w:style w:type="paragraph" w:customStyle="1" w:styleId="EndNoteBibliography">
    <w:name w:val="EndNote Bibliography"/>
    <w:basedOn w:val="Normal"/>
    <w:link w:val="EndNoteBibliographyChar"/>
    <w:rsid w:val="00750AA0"/>
    <w:pPr>
      <w:spacing w:line="240" w:lineRule="auto"/>
      <w:jc w:val="both"/>
    </w:pPr>
    <w:rPr>
      <w:rFonts w:cs="Calibri"/>
      <w:lang w:val="en-US"/>
    </w:rPr>
  </w:style>
  <w:style w:type="character" w:customStyle="1" w:styleId="EndNoteBibliographyChar">
    <w:name w:val="EndNote Bibliography Char"/>
    <w:link w:val="EndNoteBibliography"/>
    <w:rsid w:val="00750AA0"/>
    <w:rPr>
      <w:rFonts w:ascii="Calibri" w:hAnsi="Calibri" w:cs="Calibri"/>
      <w:noProof/>
      <w:lang w:val="en-US"/>
    </w:rPr>
  </w:style>
  <w:style w:type="character" w:styleId="Hyperlink">
    <w:name w:val="Hyperlink"/>
    <w:uiPriority w:val="99"/>
    <w:unhideWhenUsed/>
    <w:rsid w:val="00750AA0"/>
    <w:rPr>
      <w:color w:val="0000FF"/>
      <w:u w:val="single"/>
    </w:rPr>
  </w:style>
  <w:style w:type="paragraph" w:styleId="Footer">
    <w:name w:val="footer"/>
    <w:basedOn w:val="Normal"/>
    <w:link w:val="FooterChar"/>
    <w:uiPriority w:val="99"/>
    <w:unhideWhenUsed/>
    <w:rsid w:val="000C7A38"/>
    <w:pPr>
      <w:tabs>
        <w:tab w:val="center" w:pos="4320"/>
        <w:tab w:val="right" w:pos="8640"/>
      </w:tabs>
      <w:spacing w:after="0" w:line="240" w:lineRule="auto"/>
    </w:pPr>
  </w:style>
  <w:style w:type="character" w:customStyle="1" w:styleId="FooterChar">
    <w:name w:val="Footer Char"/>
    <w:link w:val="Footer"/>
    <w:uiPriority w:val="99"/>
    <w:rsid w:val="000C7A38"/>
    <w:rPr>
      <w:noProof/>
      <w:lang w:val="en-GB"/>
    </w:rPr>
  </w:style>
  <w:style w:type="character" w:styleId="PageNumber">
    <w:name w:val="page number"/>
    <w:basedOn w:val="DefaultParagraphFont"/>
    <w:uiPriority w:val="99"/>
    <w:semiHidden/>
    <w:unhideWhenUsed/>
    <w:rsid w:val="000C7A38"/>
  </w:style>
  <w:style w:type="paragraph" w:styleId="Header">
    <w:name w:val="header"/>
    <w:basedOn w:val="Normal"/>
    <w:link w:val="HeaderChar"/>
    <w:uiPriority w:val="99"/>
    <w:unhideWhenUsed/>
    <w:rsid w:val="000C7A38"/>
    <w:pPr>
      <w:tabs>
        <w:tab w:val="center" w:pos="4320"/>
        <w:tab w:val="right" w:pos="8640"/>
      </w:tabs>
      <w:spacing w:after="0" w:line="240" w:lineRule="auto"/>
    </w:pPr>
  </w:style>
  <w:style w:type="character" w:customStyle="1" w:styleId="HeaderChar">
    <w:name w:val="Header Char"/>
    <w:link w:val="Header"/>
    <w:uiPriority w:val="99"/>
    <w:rsid w:val="000C7A38"/>
    <w:rPr>
      <w:noProof/>
      <w:lang w:val="en-GB"/>
    </w:rPr>
  </w:style>
  <w:style w:type="paragraph" w:styleId="BalloonText">
    <w:name w:val="Balloon Text"/>
    <w:basedOn w:val="Normal"/>
    <w:link w:val="BalloonTextChar"/>
    <w:uiPriority w:val="99"/>
    <w:semiHidden/>
    <w:unhideWhenUsed/>
    <w:rsid w:val="00025955"/>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25955"/>
    <w:rPr>
      <w:rFonts w:ascii="Lucida Grande" w:hAnsi="Lucida Grande" w:cs="Lucida Grande"/>
      <w:noProof/>
      <w:sz w:val="18"/>
      <w:szCs w:val="18"/>
      <w:lang w:val="en-GB"/>
    </w:rPr>
  </w:style>
  <w:style w:type="paragraph" w:styleId="FootnoteText">
    <w:name w:val="footnote text"/>
    <w:basedOn w:val="Normal"/>
    <w:link w:val="FootnoteTextChar"/>
    <w:uiPriority w:val="99"/>
    <w:unhideWhenUsed/>
    <w:rsid w:val="00C50D31"/>
    <w:pPr>
      <w:spacing w:after="0" w:line="240" w:lineRule="auto"/>
    </w:pPr>
    <w:rPr>
      <w:sz w:val="24"/>
      <w:szCs w:val="24"/>
    </w:rPr>
  </w:style>
  <w:style w:type="character" w:customStyle="1" w:styleId="FootnoteTextChar">
    <w:name w:val="Footnote Text Char"/>
    <w:link w:val="FootnoteText"/>
    <w:uiPriority w:val="99"/>
    <w:rsid w:val="00C50D31"/>
    <w:rPr>
      <w:noProof/>
      <w:sz w:val="24"/>
      <w:szCs w:val="24"/>
      <w:lang w:val="en-GB"/>
    </w:rPr>
  </w:style>
  <w:style w:type="character" w:styleId="FootnoteReference">
    <w:name w:val="footnote reference"/>
    <w:uiPriority w:val="99"/>
    <w:unhideWhenUsed/>
    <w:rsid w:val="00C50D31"/>
    <w:rPr>
      <w:vertAlign w:val="superscript"/>
    </w:rPr>
  </w:style>
  <w:style w:type="character" w:styleId="FollowedHyperlink">
    <w:name w:val="FollowedHyperlink"/>
    <w:uiPriority w:val="99"/>
    <w:semiHidden/>
    <w:unhideWhenUsed/>
    <w:rsid w:val="0049478A"/>
    <w:rPr>
      <w:color w:val="800080"/>
      <w:u w:val="single"/>
    </w:rPr>
  </w:style>
  <w:style w:type="character" w:styleId="PlaceholderText">
    <w:name w:val="Placeholder Text"/>
    <w:uiPriority w:val="99"/>
    <w:semiHidden/>
    <w:rsid w:val="0098068C"/>
    <w:rPr>
      <w:color w:val="808080"/>
    </w:rPr>
  </w:style>
  <w:style w:type="character" w:styleId="LineNumber">
    <w:name w:val="line number"/>
    <w:basedOn w:val="DefaultParagraphFont"/>
    <w:uiPriority w:val="99"/>
    <w:semiHidden/>
    <w:unhideWhenUsed/>
    <w:rsid w:val="009A07BB"/>
  </w:style>
  <w:style w:type="table" w:customStyle="1" w:styleId="PlainTable31">
    <w:name w:val="Plain Table 31"/>
    <w:basedOn w:val="TableNormal"/>
    <w:uiPriority w:val="99"/>
    <w:rsid w:val="00F96B5C"/>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99"/>
    <w:rsid w:val="00F96B5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TableNormal"/>
    <w:uiPriority w:val="99"/>
    <w:rsid w:val="00F96B5C"/>
    <w:tblPr>
      <w:tblStyleRowBandSize w:val="1"/>
      <w:tblStyleColBandSize w:val="1"/>
    </w:tblPr>
    <w:tblStylePr w:type="firstRow">
      <w:rPr>
        <w:rFonts w:ascii="Calibri" w:eastAsia="MS Gothic" w:hAnsi="Calibri" w:cs="Times New Roman"/>
        <w:i/>
        <w:iCs/>
        <w:sz w:val="26"/>
      </w:rPr>
      <w:tblPr/>
      <w:tcPr>
        <w:tcBorders>
          <w:bottom w:val="single" w:sz="4" w:space="0" w:color="7F7F7F"/>
        </w:tcBorders>
        <w:shd w:val="clear" w:color="auto" w:fill="FFFFFF"/>
      </w:tcPr>
    </w:tblStylePr>
    <w:tblStylePr w:type="lastRow">
      <w:rPr>
        <w:rFonts w:ascii="Calibri" w:eastAsia="MS Gothic" w:hAnsi="Calibri" w:cs="Times New Roman"/>
        <w:i/>
        <w:iCs/>
        <w:sz w:val="26"/>
      </w:rPr>
      <w:tblPr/>
      <w:tcPr>
        <w:tcBorders>
          <w:top w:val="single" w:sz="4" w:space="0" w:color="7F7F7F"/>
        </w:tcBorders>
        <w:shd w:val="clear" w:color="auto" w:fill="FFFFFF"/>
      </w:tcPr>
    </w:tblStylePr>
    <w:tblStylePr w:type="firstCol">
      <w:pPr>
        <w:jc w:val="right"/>
      </w:pPr>
      <w:rPr>
        <w:rFonts w:ascii="Calibri" w:eastAsia="MS Gothic" w:hAnsi="Calibri" w:cs="Times New Roman"/>
        <w:i/>
        <w:iCs/>
        <w:sz w:val="26"/>
      </w:rPr>
      <w:tblPr/>
      <w:tcPr>
        <w:tcBorders>
          <w:right w:val="single" w:sz="4" w:space="0" w:color="7F7F7F"/>
        </w:tcBorders>
        <w:shd w:val="clear" w:color="auto" w:fill="FFFFFF"/>
      </w:tcPr>
    </w:tblStylePr>
    <w:tblStylePr w:type="lastCol">
      <w:rPr>
        <w:rFonts w:ascii="Calibri" w:eastAsia="MS Gothic"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uiPriority w:val="99"/>
    <w:semiHidden/>
    <w:unhideWhenUsed/>
    <w:rsid w:val="00D03C37"/>
    <w:rPr>
      <w:color w:val="808080"/>
      <w:shd w:val="clear" w:color="auto" w:fill="E6E6E6"/>
    </w:rPr>
  </w:style>
  <w:style w:type="paragraph" w:customStyle="1" w:styleId="BCAuthorAddress">
    <w:name w:val="BC_Author_Address"/>
    <w:basedOn w:val="Normal"/>
    <w:next w:val="Normal"/>
    <w:autoRedefine/>
    <w:rsid w:val="00EE0609"/>
    <w:pPr>
      <w:spacing w:after="60" w:line="240" w:lineRule="auto"/>
      <w:jc w:val="both"/>
    </w:pPr>
    <w:rPr>
      <w:rFonts w:ascii="Arno Pro" w:eastAsia="Times New Roman" w:hAnsi="Arno Pro" w:cs="Times New Roman"/>
      <w:noProof w:val="0"/>
      <w:kern w:val="22"/>
      <w:sz w:val="20"/>
      <w:szCs w:val="20"/>
      <w:lang w:val="en-US"/>
    </w:rPr>
  </w:style>
  <w:style w:type="paragraph" w:customStyle="1" w:styleId="MDPI17abstract">
    <w:name w:val="MDPI_1.7_abstract"/>
    <w:basedOn w:val="Normal"/>
    <w:next w:val="Normal"/>
    <w:qFormat/>
    <w:rsid w:val="006063E4"/>
    <w:pPr>
      <w:adjustRightInd w:val="0"/>
      <w:snapToGrid w:val="0"/>
      <w:spacing w:before="240" w:after="0" w:line="260" w:lineRule="atLeast"/>
      <w:ind w:left="113"/>
      <w:jc w:val="both"/>
    </w:pPr>
    <w:rPr>
      <w:rFonts w:ascii="Palatino Linotype" w:eastAsia="Times New Roman" w:hAnsi="Palatino Linotype" w:cs="Times New Roman"/>
      <w:noProof w:val="0"/>
      <w:color w:val="000000"/>
      <w:sz w:val="20"/>
      <w:lang w:val="en-US" w:eastAsia="de-DE" w:bidi="en-US"/>
    </w:rPr>
  </w:style>
  <w:style w:type="paragraph" w:customStyle="1" w:styleId="MDPI31text">
    <w:name w:val="MDPI_3.1_text"/>
    <w:qFormat/>
    <w:rsid w:val="005759A1"/>
    <w:pPr>
      <w:adjustRightInd w:val="0"/>
      <w:snapToGrid w:val="0"/>
      <w:spacing w:line="260" w:lineRule="atLeast"/>
      <w:ind w:firstLine="425"/>
      <w:jc w:val="both"/>
    </w:pPr>
    <w:rPr>
      <w:rFonts w:ascii="Palatino Linotype" w:eastAsia="Times New Roman" w:hAnsi="Palatino Linotype" w:cs="Times New Roman"/>
      <w:snapToGrid w:val="0"/>
      <w:color w:val="000000"/>
      <w:szCs w:val="22"/>
      <w:lang w:eastAsia="de-DE" w:bidi="en-US"/>
    </w:rPr>
  </w:style>
  <w:style w:type="paragraph" w:customStyle="1" w:styleId="MDPI51figurecaption">
    <w:name w:val="MDPI_5.1_figure_caption"/>
    <w:basedOn w:val="Normal"/>
    <w:qFormat/>
    <w:rsid w:val="002149CD"/>
    <w:pPr>
      <w:adjustRightInd w:val="0"/>
      <w:snapToGrid w:val="0"/>
      <w:spacing w:before="120" w:after="240" w:line="260" w:lineRule="atLeast"/>
      <w:ind w:left="425" w:right="425"/>
      <w:jc w:val="both"/>
    </w:pPr>
    <w:rPr>
      <w:rFonts w:ascii="Palatino Linotype" w:eastAsia="Times New Roman" w:hAnsi="Palatino Linotype" w:cs="Times New Roman"/>
      <w:noProof w:val="0"/>
      <w:color w:val="000000"/>
      <w:sz w:val="18"/>
      <w:szCs w:val="20"/>
      <w:lang w:val="en-US" w:eastAsia="de-DE" w:bidi="en-US"/>
    </w:rPr>
  </w:style>
  <w:style w:type="paragraph" w:customStyle="1" w:styleId="MDPI52figure">
    <w:name w:val="MDPI_5.2_figure"/>
    <w:qFormat/>
    <w:rsid w:val="002149CD"/>
    <w:pPr>
      <w:jc w:val="center"/>
    </w:pPr>
    <w:rPr>
      <w:rFonts w:ascii="Palatino Linotype" w:eastAsia="Times New Roman" w:hAnsi="Palatino Linotype" w:cs="Times New Roman"/>
      <w:snapToGrid w:val="0"/>
      <w:color w:val="000000"/>
      <w:sz w:val="24"/>
      <w:lang w:eastAsia="de-DE" w:bidi="en-US"/>
    </w:rPr>
  </w:style>
  <w:style w:type="paragraph" w:customStyle="1" w:styleId="MDPI43tablefooter">
    <w:name w:val="MDPI_4.3_table_footer"/>
    <w:basedOn w:val="Normal"/>
    <w:next w:val="MDPI31text"/>
    <w:qFormat/>
    <w:rsid w:val="007B274C"/>
    <w:pPr>
      <w:adjustRightInd w:val="0"/>
      <w:snapToGrid w:val="0"/>
      <w:spacing w:after="120" w:line="260" w:lineRule="atLeast"/>
      <w:jc w:val="both"/>
    </w:pPr>
    <w:rPr>
      <w:rFonts w:ascii="Palatino Linotype" w:eastAsia="Times New Roman" w:hAnsi="Palatino Linotype" w:cs="Times New Roman"/>
      <w:noProof w:val="0"/>
      <w:color w:val="000000"/>
      <w:sz w:val="18"/>
      <w:lang w:val="en-US" w:eastAsia="de-DE" w:bidi="en-US"/>
    </w:rPr>
  </w:style>
  <w:style w:type="paragraph" w:customStyle="1" w:styleId="MDPI61Supplementary">
    <w:name w:val="MDPI_6.1_Supplementary"/>
    <w:basedOn w:val="Normal"/>
    <w:qFormat/>
    <w:rsid w:val="007B274C"/>
    <w:pPr>
      <w:adjustRightInd w:val="0"/>
      <w:snapToGrid w:val="0"/>
      <w:spacing w:before="240" w:after="0" w:line="200" w:lineRule="atLeast"/>
      <w:jc w:val="both"/>
    </w:pPr>
    <w:rPr>
      <w:rFonts w:ascii="Palatino Linotype" w:eastAsia="Times New Roman" w:hAnsi="Palatino Linotype" w:cs="Times New Roman"/>
      <w:noProof w:val="0"/>
      <w:snapToGrid w:val="0"/>
      <w:color w:val="000000"/>
      <w:sz w:val="18"/>
      <w:szCs w:val="20"/>
      <w:lang w:val="en-US" w:bidi="en-US"/>
    </w:rPr>
  </w:style>
  <w:style w:type="paragraph" w:customStyle="1" w:styleId="MDPI62Acknowledgments">
    <w:name w:val="MDPI_6.2_Acknowledgments"/>
    <w:qFormat/>
    <w:rsid w:val="007E3C50"/>
    <w:pPr>
      <w:adjustRightInd w:val="0"/>
      <w:snapToGrid w:val="0"/>
      <w:spacing w:before="120" w:line="200" w:lineRule="atLeast"/>
      <w:jc w:val="both"/>
    </w:pPr>
    <w:rPr>
      <w:rFonts w:ascii="Palatino Linotype" w:eastAsia="Times New Roman" w:hAnsi="Palatino Linotype" w:cs="Times New Roman"/>
      <w:snapToGrid w:val="0"/>
      <w:color w:val="000000"/>
      <w:sz w:val="18"/>
      <w:lang w:eastAsia="de-DE" w:bidi="en-US"/>
    </w:rPr>
  </w:style>
  <w:style w:type="paragraph" w:customStyle="1" w:styleId="MDPI64CoI">
    <w:name w:val="MDPI_6.4_CoI"/>
    <w:basedOn w:val="MDPI62Acknowledgments"/>
    <w:qFormat/>
    <w:rsid w:val="007E3C50"/>
  </w:style>
  <w:style w:type="paragraph" w:customStyle="1" w:styleId="MDPI71References">
    <w:name w:val="MDPI_7.1_References"/>
    <w:basedOn w:val="MDPI62Acknowledgments"/>
    <w:qFormat/>
    <w:rsid w:val="007E3C50"/>
    <w:pPr>
      <w:numPr>
        <w:numId w:val="17"/>
      </w:numPr>
      <w:spacing w:before="0" w:line="260" w:lineRule="atLeast"/>
    </w:pPr>
  </w:style>
  <w:style w:type="character" w:customStyle="1" w:styleId="st">
    <w:name w:val="st"/>
    <w:basedOn w:val="DefaultParagraphFont"/>
    <w:rsid w:val="001947D3"/>
  </w:style>
  <w:style w:type="character" w:customStyle="1" w:styleId="articleauthor-link">
    <w:name w:val="article__author-link"/>
    <w:basedOn w:val="DefaultParagraphFont"/>
    <w:rsid w:val="001947D3"/>
  </w:style>
  <w:style w:type="character" w:styleId="Emphasis">
    <w:name w:val="Emphasis"/>
    <w:basedOn w:val="DefaultParagraphFont"/>
    <w:uiPriority w:val="20"/>
    <w:qFormat/>
    <w:rsid w:val="001947D3"/>
    <w:rPr>
      <w:i/>
      <w:iCs/>
    </w:rPr>
  </w:style>
  <w:style w:type="character" w:customStyle="1" w:styleId="articleentryauthorslinks">
    <w:name w:val="articleentryauthorslinks"/>
    <w:basedOn w:val="DefaultParagraphFont"/>
    <w:rsid w:val="001947D3"/>
  </w:style>
  <w:style w:type="character" w:customStyle="1" w:styleId="entryauthor">
    <w:name w:val="entryauthor"/>
    <w:basedOn w:val="DefaultParagraphFont"/>
    <w:rsid w:val="001947D3"/>
  </w:style>
  <w:style w:type="character" w:customStyle="1" w:styleId="notinjournal">
    <w:name w:val="notinjournal"/>
    <w:basedOn w:val="DefaultParagraphFont"/>
    <w:rsid w:val="001947D3"/>
  </w:style>
  <w:style w:type="character" w:styleId="HTMLCite">
    <w:name w:val="HTML Cite"/>
    <w:basedOn w:val="DefaultParagraphFont"/>
    <w:uiPriority w:val="99"/>
    <w:semiHidden/>
    <w:unhideWhenUsed/>
    <w:rsid w:val="001947D3"/>
    <w:rPr>
      <w:i/>
      <w:iCs/>
    </w:rPr>
  </w:style>
  <w:style w:type="character" w:styleId="Strong">
    <w:name w:val="Strong"/>
    <w:basedOn w:val="DefaultParagraphFont"/>
    <w:uiPriority w:val="99"/>
    <w:qFormat/>
    <w:rsid w:val="001947D3"/>
    <w:rPr>
      <w:b/>
      <w:bCs/>
    </w:rPr>
  </w:style>
  <w:style w:type="character" w:customStyle="1" w:styleId="articlepagerange">
    <w:name w:val="articlepagerange"/>
    <w:basedOn w:val="DefaultParagraphFont"/>
    <w:rsid w:val="001947D3"/>
  </w:style>
  <w:style w:type="character" w:customStyle="1" w:styleId="listitem-data">
    <w:name w:val="list__item-data"/>
    <w:basedOn w:val="DefaultParagraphFont"/>
    <w:rsid w:val="001947D3"/>
  </w:style>
  <w:style w:type="character" w:customStyle="1" w:styleId="mw-headline">
    <w:name w:val="mw-headline"/>
    <w:basedOn w:val="DefaultParagraphFont"/>
    <w:rsid w:val="001947D3"/>
  </w:style>
  <w:style w:type="character" w:customStyle="1" w:styleId="mw-editsection">
    <w:name w:val="mw-editsection"/>
    <w:basedOn w:val="DefaultParagraphFont"/>
    <w:rsid w:val="001947D3"/>
  </w:style>
  <w:style w:type="character" w:customStyle="1" w:styleId="mw-editsection-bracket">
    <w:name w:val="mw-editsection-bracket"/>
    <w:basedOn w:val="DefaultParagraphFont"/>
    <w:rsid w:val="001947D3"/>
  </w:style>
  <w:style w:type="character" w:customStyle="1" w:styleId="apple-converted-space">
    <w:name w:val="apple-converted-space"/>
    <w:basedOn w:val="DefaultParagraphFont"/>
    <w:rsid w:val="001947D3"/>
  </w:style>
  <w:style w:type="character" w:customStyle="1" w:styleId="hlfld-title">
    <w:name w:val="hlfld-title"/>
    <w:basedOn w:val="DefaultParagraphFont"/>
    <w:rsid w:val="001947D3"/>
  </w:style>
  <w:style w:type="paragraph" w:styleId="BodyText">
    <w:name w:val="Body Text"/>
    <w:basedOn w:val="Normal"/>
    <w:link w:val="BodyTextChar"/>
    <w:uiPriority w:val="99"/>
    <w:unhideWhenUsed/>
    <w:rsid w:val="003B0A02"/>
    <w:pPr>
      <w:spacing w:before="120" w:after="0" w:line="240" w:lineRule="auto"/>
      <w:ind w:firstLine="425"/>
      <w:jc w:val="both"/>
    </w:pPr>
    <w:rPr>
      <w:rFonts w:ascii="Palatino Linotype" w:hAnsi="Palatino Linotype"/>
      <w:bCs/>
      <w:color w:val="000000" w:themeColor="text1"/>
      <w:sz w:val="20"/>
      <w:szCs w:val="20"/>
    </w:rPr>
  </w:style>
  <w:style w:type="character" w:customStyle="1" w:styleId="BodyTextChar">
    <w:name w:val="Body Text Char"/>
    <w:basedOn w:val="DefaultParagraphFont"/>
    <w:link w:val="BodyText"/>
    <w:uiPriority w:val="99"/>
    <w:rsid w:val="003B0A02"/>
    <w:rPr>
      <w:rFonts w:ascii="Palatino Linotype" w:hAnsi="Palatino Linotype"/>
      <w:bCs/>
      <w:noProof/>
      <w:color w:val="000000" w:themeColor="text1"/>
      <w:lang w:val="en-GB" w:eastAsia="en-US"/>
    </w:rPr>
  </w:style>
  <w:style w:type="character" w:customStyle="1" w:styleId="Heading2Char">
    <w:name w:val="Heading 2 Char"/>
    <w:basedOn w:val="DefaultParagraphFont"/>
    <w:link w:val="Heading2"/>
    <w:uiPriority w:val="9"/>
    <w:rsid w:val="003B0A02"/>
    <w:rPr>
      <w:rFonts w:ascii="Palatino Linotype" w:hAnsi="Palatino Linotype"/>
      <w:b/>
      <w:bCs/>
      <w:noProof/>
      <w:color w:val="000000" w:themeColor="text1"/>
      <w:lang w:val="en-GB" w:eastAsia="en-US"/>
    </w:rPr>
  </w:style>
  <w:style w:type="paragraph" w:customStyle="1" w:styleId="FigureCaption">
    <w:name w:val="Figure Caption"/>
    <w:basedOn w:val="Normal"/>
    <w:qFormat/>
    <w:rsid w:val="003B0A02"/>
    <w:pPr>
      <w:spacing w:after="0" w:line="240" w:lineRule="auto"/>
      <w:jc w:val="both"/>
    </w:pPr>
    <w:rPr>
      <w:rFonts w:ascii="Palatino Linotype" w:hAnsi="Palatino Linotype"/>
      <w:bCs/>
      <w:color w:val="000000" w:themeColor="text1"/>
      <w:sz w:val="20"/>
      <w:szCs w:val="20"/>
    </w:rPr>
  </w:style>
  <w:style w:type="paragraph" w:customStyle="1" w:styleId="Heading1-NoIndex">
    <w:name w:val="Heading 1 - No Index"/>
    <w:basedOn w:val="Heading1"/>
    <w:qFormat/>
    <w:rsid w:val="00AE5AA5"/>
  </w:style>
  <w:style w:type="paragraph" w:customStyle="1" w:styleId="heading2-NoIndex">
    <w:name w:val="heading 2 - No Index"/>
    <w:basedOn w:val="Heading2"/>
    <w:qFormat/>
    <w:rsid w:val="00AE5AA5"/>
  </w:style>
  <w:style w:type="paragraph" w:styleId="TOC2">
    <w:name w:val="toc 2"/>
    <w:basedOn w:val="Normal"/>
    <w:next w:val="Normal"/>
    <w:autoRedefine/>
    <w:uiPriority w:val="39"/>
    <w:unhideWhenUsed/>
    <w:rsid w:val="005C4AE2"/>
    <w:pPr>
      <w:tabs>
        <w:tab w:val="right" w:pos="4663"/>
      </w:tabs>
      <w:adjustRightInd w:val="0"/>
      <w:snapToGrid w:val="0"/>
      <w:spacing w:after="0" w:line="240" w:lineRule="auto"/>
      <w:ind w:firstLine="142"/>
    </w:pPr>
    <w:rPr>
      <w:rFonts w:ascii="Palatino Linotype" w:hAnsi="Palatino Linotype" w:cstheme="minorHAnsi"/>
      <w:bCs/>
      <w:sz w:val="20"/>
      <w:szCs w:val="20"/>
    </w:rPr>
  </w:style>
  <w:style w:type="paragraph" w:styleId="TOC1">
    <w:name w:val="toc 1"/>
    <w:basedOn w:val="Normal"/>
    <w:next w:val="Normal"/>
    <w:autoRedefine/>
    <w:uiPriority w:val="39"/>
    <w:unhideWhenUsed/>
    <w:rsid w:val="005042C2"/>
    <w:pPr>
      <w:adjustRightInd w:val="0"/>
      <w:spacing w:before="60" w:after="0" w:line="240" w:lineRule="auto"/>
    </w:pPr>
    <w:rPr>
      <w:rFonts w:ascii="Palatino" w:hAnsi="Palatino" w:cs="Calibri Light (Headings)"/>
      <w:bCs/>
      <w:sz w:val="20"/>
      <w:szCs w:val="24"/>
    </w:rPr>
  </w:style>
  <w:style w:type="paragraph" w:styleId="TOC3">
    <w:name w:val="toc 3"/>
    <w:basedOn w:val="Normal"/>
    <w:next w:val="Normal"/>
    <w:autoRedefine/>
    <w:uiPriority w:val="39"/>
    <w:unhideWhenUsed/>
    <w:rsid w:val="005042C2"/>
    <w:pPr>
      <w:adjustRightInd w:val="0"/>
      <w:snapToGrid w:val="0"/>
      <w:spacing w:after="0" w:line="240" w:lineRule="auto"/>
      <w:ind w:left="284"/>
    </w:pPr>
    <w:rPr>
      <w:rFonts w:ascii="Palatino Linotype" w:hAnsi="Palatino Linotype" w:cstheme="minorHAnsi"/>
      <w:sz w:val="20"/>
      <w:szCs w:val="20"/>
    </w:rPr>
  </w:style>
  <w:style w:type="paragraph" w:styleId="TOC4">
    <w:name w:val="toc 4"/>
    <w:basedOn w:val="Normal"/>
    <w:next w:val="Normal"/>
    <w:autoRedefine/>
    <w:uiPriority w:val="39"/>
    <w:unhideWhenUsed/>
    <w:rsid w:val="00AE5AA5"/>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AE5AA5"/>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AE5AA5"/>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AE5AA5"/>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AE5AA5"/>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AE5AA5"/>
    <w:pPr>
      <w:spacing w:after="0"/>
      <w:ind w:left="1540"/>
    </w:pPr>
    <w:rPr>
      <w:rFonts w:asciiTheme="minorHAnsi" w:hAnsiTheme="minorHAnsi" w:cstheme="minorHAnsi"/>
      <w:sz w:val="20"/>
      <w:szCs w:val="20"/>
    </w:rPr>
  </w:style>
  <w:style w:type="paragraph" w:styleId="Revision">
    <w:name w:val="Revision"/>
    <w:hidden/>
    <w:uiPriority w:val="99"/>
    <w:semiHidden/>
    <w:rsid w:val="00EA4540"/>
    <w:rPr>
      <w:noProof/>
      <w:sz w:val="22"/>
      <w:szCs w:val="22"/>
      <w:lang w:val="en-GB" w:eastAsia="en-US"/>
    </w:rPr>
  </w:style>
  <w:style w:type="character" w:customStyle="1" w:styleId="UnresolvedMention2">
    <w:name w:val="Unresolved Mention2"/>
    <w:basedOn w:val="DefaultParagraphFont"/>
    <w:uiPriority w:val="99"/>
    <w:semiHidden/>
    <w:unhideWhenUsed/>
    <w:rsid w:val="00C026D7"/>
    <w:rPr>
      <w:color w:val="605E5C"/>
      <w:shd w:val="clear" w:color="auto" w:fill="E1DFDD"/>
    </w:rPr>
  </w:style>
  <w:style w:type="paragraph" w:styleId="NoSpacing">
    <w:name w:val="No Spacing"/>
    <w:uiPriority w:val="1"/>
    <w:qFormat/>
    <w:rsid w:val="00AB1403"/>
    <w:rPr>
      <w:rFonts w:asciiTheme="minorHAnsi" w:eastAsiaTheme="minorEastAsia" w:hAnsiTheme="minorHAnsi" w:cstheme="minorBidi"/>
      <w:sz w:val="22"/>
      <w:szCs w:val="22"/>
      <w:lang w:val="id-ID" w:eastAsia="en-US"/>
    </w:rPr>
  </w:style>
  <w:style w:type="paragraph" w:styleId="NormalWeb">
    <w:name w:val="Normal (Web)"/>
    <w:basedOn w:val="Normal"/>
    <w:uiPriority w:val="99"/>
    <w:semiHidden/>
    <w:unhideWhenUsed/>
    <w:qFormat/>
    <w:rsid w:val="004F11E0"/>
    <w:pPr>
      <w:spacing w:before="100" w:beforeAutospacing="1" w:after="100" w:afterAutospacing="1" w:line="240" w:lineRule="auto"/>
    </w:pPr>
    <w:rPr>
      <w:rFonts w:ascii="Times New Roman" w:eastAsia="Times New Roman" w:hAnsi="Times New Roman" w:cs="Times New Roman"/>
      <w:noProof w:val="0"/>
      <w:sz w:val="24"/>
      <w:szCs w:val="24"/>
      <w:lang w:val="id-ID" w:eastAsia="id-ID"/>
    </w:rPr>
  </w:style>
  <w:style w:type="character" w:customStyle="1" w:styleId="UnresolvedMention3">
    <w:name w:val="Unresolved Mention3"/>
    <w:basedOn w:val="DefaultParagraphFont"/>
    <w:uiPriority w:val="99"/>
    <w:semiHidden/>
    <w:unhideWhenUsed/>
    <w:rsid w:val="00E2700E"/>
    <w:rPr>
      <w:color w:val="605E5C"/>
      <w:shd w:val="clear" w:color="auto" w:fill="E1DFDD"/>
    </w:rPr>
  </w:style>
  <w:style w:type="character" w:styleId="UnresolvedMention">
    <w:name w:val="Unresolved Mention"/>
    <w:basedOn w:val="DefaultParagraphFont"/>
    <w:uiPriority w:val="99"/>
    <w:semiHidden/>
    <w:unhideWhenUsed/>
    <w:rsid w:val="00656B84"/>
    <w:rPr>
      <w:color w:val="605E5C"/>
      <w:shd w:val="clear" w:color="auto" w:fill="E1DFDD"/>
    </w:rPr>
  </w:style>
  <w:style w:type="table" w:customStyle="1" w:styleId="TableGrid1">
    <w:name w:val="Table Grid1"/>
    <w:basedOn w:val="TableNormal"/>
    <w:next w:val="TableGrid"/>
    <w:uiPriority w:val="39"/>
    <w:rsid w:val="007B6C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E3027"/>
    <w:pPr>
      <w:widowControl w:val="0"/>
      <w:autoSpaceDE w:val="0"/>
      <w:autoSpaceDN w:val="0"/>
      <w:spacing w:after="0" w:line="240" w:lineRule="auto"/>
      <w:ind w:left="120"/>
    </w:pPr>
    <w:rPr>
      <w:rFonts w:ascii="Times New Roman" w:eastAsia="Times New Roman" w:hAnsi="Times New Roman" w:cs="Times New Roman"/>
      <w:noProof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93792">
      <w:bodyDiv w:val="1"/>
      <w:marLeft w:val="0"/>
      <w:marRight w:val="0"/>
      <w:marTop w:val="0"/>
      <w:marBottom w:val="0"/>
      <w:divBdr>
        <w:top w:val="none" w:sz="0" w:space="0" w:color="auto"/>
        <w:left w:val="none" w:sz="0" w:space="0" w:color="auto"/>
        <w:bottom w:val="none" w:sz="0" w:space="0" w:color="auto"/>
        <w:right w:val="none" w:sz="0" w:space="0" w:color="auto"/>
      </w:divBdr>
    </w:div>
    <w:div w:id="237643176">
      <w:bodyDiv w:val="1"/>
      <w:marLeft w:val="0"/>
      <w:marRight w:val="0"/>
      <w:marTop w:val="0"/>
      <w:marBottom w:val="0"/>
      <w:divBdr>
        <w:top w:val="none" w:sz="0" w:space="0" w:color="auto"/>
        <w:left w:val="none" w:sz="0" w:space="0" w:color="auto"/>
        <w:bottom w:val="none" w:sz="0" w:space="0" w:color="auto"/>
        <w:right w:val="none" w:sz="0" w:space="0" w:color="auto"/>
      </w:divBdr>
    </w:div>
    <w:div w:id="407969385">
      <w:bodyDiv w:val="1"/>
      <w:marLeft w:val="0"/>
      <w:marRight w:val="0"/>
      <w:marTop w:val="0"/>
      <w:marBottom w:val="0"/>
      <w:divBdr>
        <w:top w:val="none" w:sz="0" w:space="0" w:color="auto"/>
        <w:left w:val="none" w:sz="0" w:space="0" w:color="auto"/>
        <w:bottom w:val="none" w:sz="0" w:space="0" w:color="auto"/>
        <w:right w:val="none" w:sz="0" w:space="0" w:color="auto"/>
      </w:divBdr>
    </w:div>
    <w:div w:id="415056315">
      <w:bodyDiv w:val="1"/>
      <w:marLeft w:val="0"/>
      <w:marRight w:val="0"/>
      <w:marTop w:val="0"/>
      <w:marBottom w:val="0"/>
      <w:divBdr>
        <w:top w:val="none" w:sz="0" w:space="0" w:color="auto"/>
        <w:left w:val="none" w:sz="0" w:space="0" w:color="auto"/>
        <w:bottom w:val="none" w:sz="0" w:space="0" w:color="auto"/>
        <w:right w:val="none" w:sz="0" w:space="0" w:color="auto"/>
      </w:divBdr>
    </w:div>
    <w:div w:id="488444802">
      <w:bodyDiv w:val="1"/>
      <w:marLeft w:val="0"/>
      <w:marRight w:val="0"/>
      <w:marTop w:val="0"/>
      <w:marBottom w:val="0"/>
      <w:divBdr>
        <w:top w:val="none" w:sz="0" w:space="0" w:color="auto"/>
        <w:left w:val="none" w:sz="0" w:space="0" w:color="auto"/>
        <w:bottom w:val="none" w:sz="0" w:space="0" w:color="auto"/>
        <w:right w:val="none" w:sz="0" w:space="0" w:color="auto"/>
      </w:divBdr>
    </w:div>
    <w:div w:id="529222435">
      <w:bodyDiv w:val="1"/>
      <w:marLeft w:val="0"/>
      <w:marRight w:val="0"/>
      <w:marTop w:val="0"/>
      <w:marBottom w:val="0"/>
      <w:divBdr>
        <w:top w:val="none" w:sz="0" w:space="0" w:color="auto"/>
        <w:left w:val="none" w:sz="0" w:space="0" w:color="auto"/>
        <w:bottom w:val="none" w:sz="0" w:space="0" w:color="auto"/>
        <w:right w:val="none" w:sz="0" w:space="0" w:color="auto"/>
      </w:divBdr>
    </w:div>
    <w:div w:id="611977888">
      <w:bodyDiv w:val="1"/>
      <w:marLeft w:val="0"/>
      <w:marRight w:val="0"/>
      <w:marTop w:val="0"/>
      <w:marBottom w:val="0"/>
      <w:divBdr>
        <w:top w:val="none" w:sz="0" w:space="0" w:color="auto"/>
        <w:left w:val="none" w:sz="0" w:space="0" w:color="auto"/>
        <w:bottom w:val="none" w:sz="0" w:space="0" w:color="auto"/>
        <w:right w:val="none" w:sz="0" w:space="0" w:color="auto"/>
      </w:divBdr>
    </w:div>
    <w:div w:id="745953010">
      <w:bodyDiv w:val="1"/>
      <w:marLeft w:val="0"/>
      <w:marRight w:val="0"/>
      <w:marTop w:val="0"/>
      <w:marBottom w:val="0"/>
      <w:divBdr>
        <w:top w:val="none" w:sz="0" w:space="0" w:color="auto"/>
        <w:left w:val="none" w:sz="0" w:space="0" w:color="auto"/>
        <w:bottom w:val="none" w:sz="0" w:space="0" w:color="auto"/>
        <w:right w:val="none" w:sz="0" w:space="0" w:color="auto"/>
      </w:divBdr>
    </w:div>
    <w:div w:id="797916996">
      <w:bodyDiv w:val="1"/>
      <w:marLeft w:val="0"/>
      <w:marRight w:val="0"/>
      <w:marTop w:val="0"/>
      <w:marBottom w:val="0"/>
      <w:divBdr>
        <w:top w:val="none" w:sz="0" w:space="0" w:color="auto"/>
        <w:left w:val="none" w:sz="0" w:space="0" w:color="auto"/>
        <w:bottom w:val="none" w:sz="0" w:space="0" w:color="auto"/>
        <w:right w:val="none" w:sz="0" w:space="0" w:color="auto"/>
      </w:divBdr>
    </w:div>
    <w:div w:id="821312221">
      <w:bodyDiv w:val="1"/>
      <w:marLeft w:val="0"/>
      <w:marRight w:val="0"/>
      <w:marTop w:val="0"/>
      <w:marBottom w:val="0"/>
      <w:divBdr>
        <w:top w:val="none" w:sz="0" w:space="0" w:color="auto"/>
        <w:left w:val="none" w:sz="0" w:space="0" w:color="auto"/>
        <w:bottom w:val="none" w:sz="0" w:space="0" w:color="auto"/>
        <w:right w:val="none" w:sz="0" w:space="0" w:color="auto"/>
      </w:divBdr>
    </w:div>
    <w:div w:id="824976372">
      <w:bodyDiv w:val="1"/>
      <w:marLeft w:val="0"/>
      <w:marRight w:val="0"/>
      <w:marTop w:val="0"/>
      <w:marBottom w:val="0"/>
      <w:divBdr>
        <w:top w:val="none" w:sz="0" w:space="0" w:color="auto"/>
        <w:left w:val="none" w:sz="0" w:space="0" w:color="auto"/>
        <w:bottom w:val="none" w:sz="0" w:space="0" w:color="auto"/>
        <w:right w:val="none" w:sz="0" w:space="0" w:color="auto"/>
      </w:divBdr>
    </w:div>
    <w:div w:id="904028506">
      <w:bodyDiv w:val="1"/>
      <w:marLeft w:val="0"/>
      <w:marRight w:val="0"/>
      <w:marTop w:val="0"/>
      <w:marBottom w:val="0"/>
      <w:divBdr>
        <w:top w:val="none" w:sz="0" w:space="0" w:color="auto"/>
        <w:left w:val="none" w:sz="0" w:space="0" w:color="auto"/>
        <w:bottom w:val="none" w:sz="0" w:space="0" w:color="auto"/>
        <w:right w:val="none" w:sz="0" w:space="0" w:color="auto"/>
      </w:divBdr>
      <w:divsChild>
        <w:div w:id="1505973052">
          <w:marLeft w:val="0"/>
          <w:marRight w:val="0"/>
          <w:marTop w:val="0"/>
          <w:marBottom w:val="0"/>
          <w:divBdr>
            <w:top w:val="none" w:sz="0" w:space="0" w:color="auto"/>
            <w:left w:val="none" w:sz="0" w:space="0" w:color="auto"/>
            <w:bottom w:val="none" w:sz="0" w:space="0" w:color="auto"/>
            <w:right w:val="none" w:sz="0" w:space="0" w:color="auto"/>
          </w:divBdr>
        </w:div>
      </w:divsChild>
    </w:div>
    <w:div w:id="1035234907">
      <w:bodyDiv w:val="1"/>
      <w:marLeft w:val="0"/>
      <w:marRight w:val="0"/>
      <w:marTop w:val="0"/>
      <w:marBottom w:val="0"/>
      <w:divBdr>
        <w:top w:val="none" w:sz="0" w:space="0" w:color="auto"/>
        <w:left w:val="none" w:sz="0" w:space="0" w:color="auto"/>
        <w:bottom w:val="none" w:sz="0" w:space="0" w:color="auto"/>
        <w:right w:val="none" w:sz="0" w:space="0" w:color="auto"/>
      </w:divBdr>
    </w:div>
    <w:div w:id="1135218216">
      <w:bodyDiv w:val="1"/>
      <w:marLeft w:val="0"/>
      <w:marRight w:val="0"/>
      <w:marTop w:val="0"/>
      <w:marBottom w:val="0"/>
      <w:divBdr>
        <w:top w:val="none" w:sz="0" w:space="0" w:color="auto"/>
        <w:left w:val="none" w:sz="0" w:space="0" w:color="auto"/>
        <w:bottom w:val="none" w:sz="0" w:space="0" w:color="auto"/>
        <w:right w:val="none" w:sz="0" w:space="0" w:color="auto"/>
      </w:divBdr>
    </w:div>
    <w:div w:id="1207596316">
      <w:bodyDiv w:val="1"/>
      <w:marLeft w:val="0"/>
      <w:marRight w:val="0"/>
      <w:marTop w:val="0"/>
      <w:marBottom w:val="0"/>
      <w:divBdr>
        <w:top w:val="none" w:sz="0" w:space="0" w:color="auto"/>
        <w:left w:val="none" w:sz="0" w:space="0" w:color="auto"/>
        <w:bottom w:val="none" w:sz="0" w:space="0" w:color="auto"/>
        <w:right w:val="none" w:sz="0" w:space="0" w:color="auto"/>
      </w:divBdr>
    </w:div>
    <w:div w:id="1225213436">
      <w:bodyDiv w:val="1"/>
      <w:marLeft w:val="0"/>
      <w:marRight w:val="0"/>
      <w:marTop w:val="0"/>
      <w:marBottom w:val="0"/>
      <w:divBdr>
        <w:top w:val="none" w:sz="0" w:space="0" w:color="auto"/>
        <w:left w:val="none" w:sz="0" w:space="0" w:color="auto"/>
        <w:bottom w:val="none" w:sz="0" w:space="0" w:color="auto"/>
        <w:right w:val="none" w:sz="0" w:space="0" w:color="auto"/>
      </w:divBdr>
    </w:div>
    <w:div w:id="1226183807">
      <w:bodyDiv w:val="1"/>
      <w:marLeft w:val="0"/>
      <w:marRight w:val="0"/>
      <w:marTop w:val="0"/>
      <w:marBottom w:val="0"/>
      <w:divBdr>
        <w:top w:val="none" w:sz="0" w:space="0" w:color="auto"/>
        <w:left w:val="none" w:sz="0" w:space="0" w:color="auto"/>
        <w:bottom w:val="none" w:sz="0" w:space="0" w:color="auto"/>
        <w:right w:val="none" w:sz="0" w:space="0" w:color="auto"/>
      </w:divBdr>
    </w:div>
    <w:div w:id="1273514455">
      <w:bodyDiv w:val="1"/>
      <w:marLeft w:val="0"/>
      <w:marRight w:val="0"/>
      <w:marTop w:val="0"/>
      <w:marBottom w:val="0"/>
      <w:divBdr>
        <w:top w:val="none" w:sz="0" w:space="0" w:color="auto"/>
        <w:left w:val="none" w:sz="0" w:space="0" w:color="auto"/>
        <w:bottom w:val="none" w:sz="0" w:space="0" w:color="auto"/>
        <w:right w:val="none" w:sz="0" w:space="0" w:color="auto"/>
      </w:divBdr>
    </w:div>
    <w:div w:id="1295140301">
      <w:bodyDiv w:val="1"/>
      <w:marLeft w:val="0"/>
      <w:marRight w:val="0"/>
      <w:marTop w:val="0"/>
      <w:marBottom w:val="0"/>
      <w:divBdr>
        <w:top w:val="none" w:sz="0" w:space="0" w:color="auto"/>
        <w:left w:val="none" w:sz="0" w:space="0" w:color="auto"/>
        <w:bottom w:val="none" w:sz="0" w:space="0" w:color="auto"/>
        <w:right w:val="none" w:sz="0" w:space="0" w:color="auto"/>
      </w:divBdr>
    </w:div>
    <w:div w:id="1317225242">
      <w:bodyDiv w:val="1"/>
      <w:marLeft w:val="0"/>
      <w:marRight w:val="0"/>
      <w:marTop w:val="0"/>
      <w:marBottom w:val="0"/>
      <w:divBdr>
        <w:top w:val="none" w:sz="0" w:space="0" w:color="auto"/>
        <w:left w:val="none" w:sz="0" w:space="0" w:color="auto"/>
        <w:bottom w:val="none" w:sz="0" w:space="0" w:color="auto"/>
        <w:right w:val="none" w:sz="0" w:space="0" w:color="auto"/>
      </w:divBdr>
    </w:div>
    <w:div w:id="1403404805">
      <w:bodyDiv w:val="1"/>
      <w:marLeft w:val="0"/>
      <w:marRight w:val="0"/>
      <w:marTop w:val="0"/>
      <w:marBottom w:val="0"/>
      <w:divBdr>
        <w:top w:val="none" w:sz="0" w:space="0" w:color="auto"/>
        <w:left w:val="none" w:sz="0" w:space="0" w:color="auto"/>
        <w:bottom w:val="none" w:sz="0" w:space="0" w:color="auto"/>
        <w:right w:val="none" w:sz="0" w:space="0" w:color="auto"/>
      </w:divBdr>
    </w:div>
    <w:div w:id="1482112721">
      <w:bodyDiv w:val="1"/>
      <w:marLeft w:val="0"/>
      <w:marRight w:val="0"/>
      <w:marTop w:val="0"/>
      <w:marBottom w:val="0"/>
      <w:divBdr>
        <w:top w:val="none" w:sz="0" w:space="0" w:color="auto"/>
        <w:left w:val="none" w:sz="0" w:space="0" w:color="auto"/>
        <w:bottom w:val="none" w:sz="0" w:space="0" w:color="auto"/>
        <w:right w:val="none" w:sz="0" w:space="0" w:color="auto"/>
      </w:divBdr>
    </w:div>
    <w:div w:id="1610897006">
      <w:bodyDiv w:val="1"/>
      <w:marLeft w:val="0"/>
      <w:marRight w:val="0"/>
      <w:marTop w:val="0"/>
      <w:marBottom w:val="0"/>
      <w:divBdr>
        <w:top w:val="none" w:sz="0" w:space="0" w:color="auto"/>
        <w:left w:val="none" w:sz="0" w:space="0" w:color="auto"/>
        <w:bottom w:val="none" w:sz="0" w:space="0" w:color="auto"/>
        <w:right w:val="none" w:sz="0" w:space="0" w:color="auto"/>
      </w:divBdr>
    </w:div>
    <w:div w:id="174787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creativecommons.org/licenses/by-nc-sa/4.0/"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doi.org/10.36490/journal-jps.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creativecommons.org/licenses/by-nc-sa/4.0/" TargetMode="Externa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229A1-8F97-476C-977B-C32AC0E94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28</Pages>
  <Words>70078</Words>
  <Characters>399449</Characters>
  <Application>Microsoft Office Word</Application>
  <DocSecurity>0</DocSecurity>
  <Lines>3328</Lines>
  <Paragraphs>937</Paragraphs>
  <ScaleCrop>false</ScaleCrop>
  <HeadingPairs>
    <vt:vector size="2" baseType="variant">
      <vt:variant>
        <vt:lpstr>Title</vt:lpstr>
      </vt:variant>
      <vt:variant>
        <vt:i4>1</vt:i4>
      </vt:variant>
    </vt:vector>
  </HeadingPairs>
  <TitlesOfParts>
    <vt:vector size="1" baseType="lpstr">
      <vt:lpstr>sujulis</vt:lpstr>
    </vt:vector>
  </TitlesOfParts>
  <Company>Microsoft</Company>
  <LinksUpToDate>false</LinksUpToDate>
  <CharactersWithSpaces>468590</CharactersWithSpaces>
  <SharedDoc>false</SharedDoc>
  <HLinks>
    <vt:vector size="18" baseType="variant">
      <vt:variant>
        <vt:i4>7012381</vt:i4>
      </vt:variant>
      <vt:variant>
        <vt:i4>0</vt:i4>
      </vt:variant>
      <vt:variant>
        <vt:i4>0</vt:i4>
      </vt:variant>
      <vt:variant>
        <vt:i4>5</vt:i4>
      </vt:variant>
      <vt:variant>
        <vt:lpwstr>mailto:authors@xxx.xxx.xxx</vt:lpwstr>
      </vt:variant>
      <vt:variant>
        <vt:lpwstr/>
      </vt:variant>
      <vt:variant>
        <vt:i4>5308424</vt:i4>
      </vt:variant>
      <vt:variant>
        <vt:i4>8</vt:i4>
      </vt:variant>
      <vt:variant>
        <vt:i4>0</vt:i4>
      </vt:variant>
      <vt:variant>
        <vt:i4>5</vt:i4>
      </vt:variant>
      <vt:variant>
        <vt:lpwstr>https://creativecommons.org/licenses/by/4.0/</vt:lpwstr>
      </vt:variant>
      <vt:variant>
        <vt:lpwstr/>
      </vt:variant>
      <vt:variant>
        <vt:i4>5308424</vt:i4>
      </vt:variant>
      <vt:variant>
        <vt:i4>5</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sujulis</dc:title>
  <dc:subject/>
  <dc:creator>salman</dc:creator>
  <cp:keywords/>
  <dc:description/>
  <cp:lastModifiedBy>Teuku Salman</cp:lastModifiedBy>
  <cp:revision>69</cp:revision>
  <cp:lastPrinted>2019-08-31T08:31:00Z</cp:lastPrinted>
  <dcterms:created xsi:type="dcterms:W3CDTF">2020-09-28T11:19:00Z</dcterms:created>
  <dcterms:modified xsi:type="dcterms:W3CDTF">2025-07-01T11:11:00Z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http://www.zotero.org/styles/apa-6th-edition</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http://www.zotero.org/styles/elsevier-vancouver</vt:lpwstr>
  </property>
  <property fmtid="{D5CDD505-2E9C-101B-9397-08002B2CF9AE}" pid="13" name="Mendeley Recent Style Name 5_1">
    <vt:lpwstr>Elsevier - Vancouver</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http://www.zotero.org/styles/multidisciplinary-digital-publishing-institute</vt:lpwstr>
  </property>
  <property fmtid="{D5CDD505-2E9C-101B-9397-08002B2CF9AE}" pid="19" name="Mendeley Recent Style Name 8_1">
    <vt:lpwstr>Multidisciplinary Digital Publishing Institute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37b9c348-778a-38c7-869e-8d4fcfe51da5</vt:lpwstr>
  </property>
  <property fmtid="{D5CDD505-2E9C-101B-9397-08002B2CF9AE}" pid="24" name="Mendeley Citation Style_1">
    <vt:lpwstr>http://www.zotero.org/styles/elsevier-vancouver</vt:lpwstr>
  </property>
</Properties>
</file>